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682" w14:textId="77777777" w:rsidR="00F546E8" w:rsidRPr="00B6426E" w:rsidRDefault="00F546E8" w:rsidP="00F546E8">
      <w:pPr>
        <w:pStyle w:val="Footer"/>
        <w:tabs>
          <w:tab w:val="clear" w:pos="4680"/>
          <w:tab w:val="clear" w:pos="9360"/>
        </w:tabs>
        <w:rPr>
          <w:rFonts w:ascii="Franklin Gothic Book" w:hAnsi="Franklin Gothic Book" w:cs="Arial"/>
        </w:rPr>
      </w:pPr>
    </w:p>
    <w:p w14:paraId="20F8FF5B" w14:textId="3ED7B01E" w:rsidR="00F546E8" w:rsidRPr="00F57721" w:rsidRDefault="005C24D8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b/>
          <w:bCs/>
        </w:rPr>
      </w:pPr>
      <w:r w:rsidRPr="00F57721">
        <w:rPr>
          <w:rFonts w:cstheme="minorHAnsi"/>
          <w:b/>
          <w:bCs/>
        </w:rPr>
        <w:t>Better and m</w:t>
      </w:r>
      <w:r w:rsidR="00792ADA" w:rsidRPr="00F57721">
        <w:rPr>
          <w:rFonts w:cstheme="minorHAnsi"/>
          <w:b/>
          <w:bCs/>
        </w:rPr>
        <w:t xml:space="preserve">ore integrated </w:t>
      </w:r>
      <w:r w:rsidR="00BF363C" w:rsidRPr="00F57721">
        <w:rPr>
          <w:rFonts w:cstheme="minorHAnsi"/>
          <w:b/>
          <w:bCs/>
        </w:rPr>
        <w:t>ESG investing standards are progressing</w:t>
      </w:r>
    </w:p>
    <w:p w14:paraId="63B5F9AF" w14:textId="77777777" w:rsidR="00F57721" w:rsidRDefault="00F57721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i/>
          <w:iCs/>
        </w:rPr>
      </w:pPr>
    </w:p>
    <w:p w14:paraId="4FE0D5A9" w14:textId="2D8F0B6C" w:rsidR="00BF363C" w:rsidRPr="00F57721" w:rsidRDefault="00BF363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i/>
          <w:iCs/>
        </w:rPr>
      </w:pPr>
      <w:r w:rsidRPr="00F57721">
        <w:rPr>
          <w:rFonts w:cstheme="minorHAnsi"/>
          <w:i/>
          <w:iCs/>
        </w:rPr>
        <w:t>A</w:t>
      </w:r>
      <w:r w:rsidR="00792ADA" w:rsidRPr="00F57721">
        <w:rPr>
          <w:rFonts w:cstheme="minorHAnsi"/>
          <w:i/>
          <w:iCs/>
        </w:rPr>
        <w:t>n enhanced</w:t>
      </w:r>
      <w:r w:rsidRPr="00F57721">
        <w:rPr>
          <w:rFonts w:cstheme="minorHAnsi"/>
          <w:i/>
          <w:iCs/>
        </w:rPr>
        <w:t xml:space="preserve"> Canadian </w:t>
      </w:r>
      <w:r w:rsidR="00792ADA" w:rsidRPr="00F57721">
        <w:rPr>
          <w:rFonts w:cstheme="minorHAnsi"/>
          <w:i/>
          <w:iCs/>
        </w:rPr>
        <w:t xml:space="preserve">ESG identification framework </w:t>
      </w:r>
      <w:r w:rsidRPr="00F57721">
        <w:rPr>
          <w:rFonts w:cstheme="minorHAnsi"/>
          <w:i/>
          <w:iCs/>
        </w:rPr>
        <w:t>is advanc</w:t>
      </w:r>
      <w:r w:rsidR="00225542" w:rsidRPr="00F57721">
        <w:rPr>
          <w:rFonts w:cstheme="minorHAnsi"/>
          <w:i/>
          <w:iCs/>
        </w:rPr>
        <w:t>ing</w:t>
      </w:r>
      <w:r w:rsidRPr="00F57721">
        <w:rPr>
          <w:rFonts w:cstheme="minorHAnsi"/>
          <w:i/>
          <w:iCs/>
        </w:rPr>
        <w:t xml:space="preserve"> </w:t>
      </w:r>
      <w:r w:rsidR="005C24D8" w:rsidRPr="00F57721">
        <w:rPr>
          <w:rFonts w:cstheme="minorHAnsi"/>
          <w:i/>
          <w:iCs/>
        </w:rPr>
        <w:t xml:space="preserve">on a foundation of </w:t>
      </w:r>
      <w:r w:rsidRPr="00F57721">
        <w:rPr>
          <w:rFonts w:cstheme="minorHAnsi"/>
          <w:i/>
          <w:iCs/>
        </w:rPr>
        <w:t xml:space="preserve">international </w:t>
      </w:r>
      <w:r w:rsidR="00225542" w:rsidRPr="00F57721">
        <w:rPr>
          <w:rFonts w:cstheme="minorHAnsi"/>
          <w:i/>
          <w:iCs/>
        </w:rPr>
        <w:t>and domestic norms</w:t>
      </w:r>
    </w:p>
    <w:p w14:paraId="50F9B45A" w14:textId="2A2E9403" w:rsidR="00CA3788" w:rsidRPr="00F57721" w:rsidRDefault="00CA3788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5711CD1E" w14:textId="053CB312" w:rsidR="00F81DCB" w:rsidRPr="00F57721" w:rsidRDefault="00F81DCB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There</w:t>
      </w:r>
      <w:r w:rsidR="000948CD" w:rsidRPr="00F57721">
        <w:rPr>
          <w:rFonts w:cstheme="minorHAnsi"/>
        </w:rPr>
        <w:t xml:space="preserve"> i</w:t>
      </w:r>
      <w:r w:rsidRPr="00F57721">
        <w:rPr>
          <w:rFonts w:cstheme="minorHAnsi"/>
        </w:rPr>
        <w:t>s perhaps no more topical</w:t>
      </w:r>
      <w:r w:rsidR="006324D1" w:rsidRPr="00F57721">
        <w:rPr>
          <w:rFonts w:cstheme="minorHAnsi"/>
        </w:rPr>
        <w:t>, engaging</w:t>
      </w:r>
      <w:r w:rsidRPr="00F57721">
        <w:rPr>
          <w:rFonts w:cstheme="minorHAnsi"/>
        </w:rPr>
        <w:t xml:space="preserve"> </w:t>
      </w:r>
      <w:r w:rsidR="006342C2" w:rsidRPr="00F57721">
        <w:rPr>
          <w:rFonts w:cstheme="minorHAnsi"/>
        </w:rPr>
        <w:t xml:space="preserve">– </w:t>
      </w:r>
      <w:r w:rsidRPr="00F57721">
        <w:rPr>
          <w:rFonts w:cstheme="minorHAnsi"/>
        </w:rPr>
        <w:t>and h</w:t>
      </w:r>
      <w:r w:rsidR="00223899" w:rsidRPr="00F57721">
        <w:rPr>
          <w:rFonts w:cstheme="minorHAnsi"/>
        </w:rPr>
        <w:t>ot</w:t>
      </w:r>
      <w:r w:rsidRPr="00F57721">
        <w:rPr>
          <w:rFonts w:cstheme="minorHAnsi"/>
        </w:rPr>
        <w:t xml:space="preserve">ly debated </w:t>
      </w:r>
      <w:r w:rsidR="006342C2" w:rsidRPr="00F57721">
        <w:rPr>
          <w:rFonts w:cstheme="minorHAnsi"/>
        </w:rPr>
        <w:t xml:space="preserve">– </w:t>
      </w:r>
      <w:r w:rsidRPr="00F57721">
        <w:rPr>
          <w:rFonts w:cstheme="minorHAnsi"/>
        </w:rPr>
        <w:t xml:space="preserve">subject among </w:t>
      </w:r>
      <w:r w:rsidR="00EC3CD5" w:rsidRPr="00F57721">
        <w:rPr>
          <w:rFonts w:cstheme="minorHAnsi"/>
        </w:rPr>
        <w:t xml:space="preserve">investment sector </w:t>
      </w:r>
      <w:r w:rsidRPr="00F57721">
        <w:rPr>
          <w:rFonts w:cstheme="minorHAnsi"/>
        </w:rPr>
        <w:t>professionals in recent years than ESG</w:t>
      </w:r>
      <w:r w:rsidR="006324D1" w:rsidRPr="00F57721">
        <w:rPr>
          <w:rFonts w:cstheme="minorHAnsi"/>
        </w:rPr>
        <w:t xml:space="preserve"> (environmental, social, governance)</w:t>
      </w:r>
      <w:r w:rsidR="00EC3CD5" w:rsidRPr="00F57721">
        <w:rPr>
          <w:rFonts w:cstheme="minorHAnsi"/>
        </w:rPr>
        <w:t xml:space="preserve"> investing</w:t>
      </w:r>
      <w:r w:rsidR="006324D1" w:rsidRPr="00F57721">
        <w:rPr>
          <w:rFonts w:cstheme="minorHAnsi"/>
        </w:rPr>
        <w:t>.</w:t>
      </w:r>
    </w:p>
    <w:p w14:paraId="78858992" w14:textId="77777777" w:rsidR="00F81DCB" w:rsidRPr="00F57721" w:rsidRDefault="00F81DCB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3D55D519" w14:textId="5B105BEE" w:rsidR="003D3FEB" w:rsidRPr="00F57721" w:rsidRDefault="00BF363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The intense</w:t>
      </w:r>
      <w:r w:rsidR="006342C2" w:rsidRPr="00F57721">
        <w:rPr>
          <w:rFonts w:cstheme="minorHAnsi"/>
        </w:rPr>
        <w:t xml:space="preserve">, ongoing discussion </w:t>
      </w:r>
      <w:r w:rsidRPr="00F57721">
        <w:rPr>
          <w:rFonts w:cstheme="minorHAnsi"/>
        </w:rPr>
        <w:t>is</w:t>
      </w:r>
      <w:r w:rsidR="006342C2" w:rsidRPr="00F57721">
        <w:rPr>
          <w:rFonts w:cstheme="minorHAnsi"/>
        </w:rPr>
        <w:t xml:space="preserve"> not </w:t>
      </w:r>
      <w:r w:rsidR="00EC3CD5" w:rsidRPr="00F57721">
        <w:rPr>
          <w:rFonts w:cstheme="minorHAnsi"/>
        </w:rPr>
        <w:t>surpris</w:t>
      </w:r>
      <w:r w:rsidR="006340D6" w:rsidRPr="00F57721">
        <w:rPr>
          <w:rFonts w:cstheme="minorHAnsi"/>
        </w:rPr>
        <w:t>ing</w:t>
      </w:r>
      <w:r w:rsidR="00EC3CD5" w:rsidRPr="00F57721">
        <w:rPr>
          <w:rFonts w:cstheme="minorHAnsi"/>
        </w:rPr>
        <w:t>. T</w:t>
      </w:r>
      <w:r w:rsidR="003D3FEB" w:rsidRPr="00F57721">
        <w:rPr>
          <w:rFonts w:cstheme="minorHAnsi"/>
        </w:rPr>
        <w:t xml:space="preserve">he </w:t>
      </w:r>
      <w:r w:rsidR="00F81DCB" w:rsidRPr="00F57721">
        <w:rPr>
          <w:rFonts w:cstheme="minorHAnsi"/>
        </w:rPr>
        <w:t xml:space="preserve">spectacular rise of </w:t>
      </w:r>
      <w:r w:rsidR="006324D1" w:rsidRPr="00F57721">
        <w:rPr>
          <w:rFonts w:cstheme="minorHAnsi"/>
        </w:rPr>
        <w:t xml:space="preserve">investor </w:t>
      </w:r>
      <w:r w:rsidR="00F81DCB" w:rsidRPr="00F57721">
        <w:rPr>
          <w:rFonts w:cstheme="minorHAnsi"/>
        </w:rPr>
        <w:t xml:space="preserve">interest in and product offerings catering to the </w:t>
      </w:r>
      <w:r w:rsidR="00503674" w:rsidRPr="00F57721">
        <w:rPr>
          <w:rFonts w:cstheme="minorHAnsi"/>
        </w:rPr>
        <w:t xml:space="preserve">enthusiasm </w:t>
      </w:r>
      <w:r w:rsidR="00F81DCB" w:rsidRPr="00F57721">
        <w:rPr>
          <w:rFonts w:cstheme="minorHAnsi"/>
        </w:rPr>
        <w:t>for ESG investments is</w:t>
      </w:r>
      <w:r w:rsidR="00CA176B" w:rsidRPr="00F57721">
        <w:rPr>
          <w:rFonts w:cstheme="minorHAnsi"/>
        </w:rPr>
        <w:t xml:space="preserve"> unparalleled</w:t>
      </w:r>
      <w:r w:rsidR="00F81DCB" w:rsidRPr="00F57721">
        <w:rPr>
          <w:rFonts w:cstheme="minorHAnsi"/>
        </w:rPr>
        <w:t>.</w:t>
      </w:r>
      <w:r w:rsidR="003D3FEB" w:rsidRPr="00F57721">
        <w:rPr>
          <w:rFonts w:cstheme="minorHAnsi"/>
        </w:rPr>
        <w:t xml:space="preserve"> </w:t>
      </w:r>
      <w:r w:rsidR="006324D1" w:rsidRPr="00F57721">
        <w:rPr>
          <w:rFonts w:cstheme="minorHAnsi"/>
        </w:rPr>
        <w:t>As National Bank Financial Management state</w:t>
      </w:r>
      <w:r w:rsidR="006342C2" w:rsidRPr="00F57721">
        <w:rPr>
          <w:rFonts w:cstheme="minorHAnsi"/>
        </w:rPr>
        <w:t>d</w:t>
      </w:r>
      <w:r w:rsidR="006324D1" w:rsidRPr="00F57721">
        <w:rPr>
          <w:rFonts w:cstheme="minorHAnsi"/>
        </w:rPr>
        <w:t xml:space="preserve"> in its Canadian ETF Flows report for 2021: “ESG is moving money and shaking the foundation of the asset management industry.”</w:t>
      </w:r>
    </w:p>
    <w:p w14:paraId="13A930D3" w14:textId="5CC2BF6E" w:rsidR="00C9152C" w:rsidRPr="00F57721" w:rsidRDefault="00C9152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57F101A4" w14:textId="2316DC83" w:rsidR="00F81DCB" w:rsidRPr="00F57721" w:rsidRDefault="00C9152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ESG has special significance for ETFs</w:t>
      </w:r>
      <w:r w:rsidR="00EC3CD5" w:rsidRPr="00F57721">
        <w:rPr>
          <w:rFonts w:cstheme="minorHAnsi"/>
        </w:rPr>
        <w:t xml:space="preserve"> because of the dramatic rise in product offerings in a remarkably short period of time</w:t>
      </w:r>
      <w:r w:rsidRPr="00F57721">
        <w:rPr>
          <w:rFonts w:cstheme="minorHAnsi"/>
        </w:rPr>
        <w:t>.</w:t>
      </w:r>
      <w:r w:rsidR="000A2FC0" w:rsidRPr="00F57721">
        <w:rPr>
          <w:rFonts w:cstheme="minorHAnsi"/>
        </w:rPr>
        <w:t xml:space="preserve"> </w:t>
      </w:r>
      <w:r w:rsidR="00214FD6" w:rsidRPr="00F57721">
        <w:rPr>
          <w:rFonts w:cstheme="minorHAnsi"/>
        </w:rPr>
        <w:t>Responding to investor</w:t>
      </w:r>
      <w:r w:rsidR="00503674" w:rsidRPr="00F57721">
        <w:rPr>
          <w:rFonts w:cstheme="minorHAnsi"/>
        </w:rPr>
        <w:t xml:space="preserve"> appetite</w:t>
      </w:r>
      <w:r w:rsidR="00214FD6" w:rsidRPr="00F57721">
        <w:rPr>
          <w:rFonts w:cstheme="minorHAnsi"/>
        </w:rPr>
        <w:t>, t</w:t>
      </w:r>
      <w:r w:rsidR="006324D1" w:rsidRPr="00F57721">
        <w:rPr>
          <w:rFonts w:cstheme="minorHAnsi"/>
        </w:rPr>
        <w:t>he number of ESG ETFs doubled to 100 in 2021 from 50 in 2020</w:t>
      </w:r>
      <w:r w:rsidR="004A266F" w:rsidRPr="00F57721">
        <w:rPr>
          <w:rFonts w:cstheme="minorHAnsi"/>
        </w:rPr>
        <w:t xml:space="preserve">, </w:t>
      </w:r>
      <w:r w:rsidR="003D3FEB" w:rsidRPr="00F57721">
        <w:rPr>
          <w:rFonts w:cstheme="minorHAnsi"/>
        </w:rPr>
        <w:t>NBC Financial state</w:t>
      </w:r>
      <w:r w:rsidR="0021112C" w:rsidRPr="00F57721">
        <w:rPr>
          <w:rFonts w:cstheme="minorHAnsi"/>
        </w:rPr>
        <w:t>s</w:t>
      </w:r>
      <w:r w:rsidR="004A266F" w:rsidRPr="00F57721">
        <w:rPr>
          <w:rFonts w:cstheme="minorHAnsi"/>
        </w:rPr>
        <w:t>, while</w:t>
      </w:r>
      <w:r w:rsidR="006324D1" w:rsidRPr="00F57721">
        <w:rPr>
          <w:rFonts w:cstheme="minorHAnsi"/>
        </w:rPr>
        <w:t xml:space="preserve"> inflows accelerated in both years, benefitting ESG-themed equity, fixed-</w:t>
      </w:r>
      <w:proofErr w:type="gramStart"/>
      <w:r w:rsidR="006324D1" w:rsidRPr="00F57721">
        <w:rPr>
          <w:rFonts w:cstheme="minorHAnsi"/>
        </w:rPr>
        <w:t>income</w:t>
      </w:r>
      <w:proofErr w:type="gramEnd"/>
      <w:r w:rsidR="006324D1" w:rsidRPr="00F57721">
        <w:rPr>
          <w:rFonts w:cstheme="minorHAnsi"/>
        </w:rPr>
        <w:t xml:space="preserve"> and asset allocation ETFs</w:t>
      </w:r>
      <w:r w:rsidR="004A266F" w:rsidRPr="00F57721">
        <w:rPr>
          <w:rFonts w:cstheme="minorHAnsi"/>
        </w:rPr>
        <w:t>.</w:t>
      </w:r>
      <w:r w:rsidR="006324D1" w:rsidRPr="00F57721">
        <w:rPr>
          <w:rFonts w:cstheme="minorHAnsi"/>
        </w:rPr>
        <w:t xml:space="preserve"> </w:t>
      </w:r>
      <w:r w:rsidR="003D3FEB" w:rsidRPr="00F57721">
        <w:rPr>
          <w:rFonts w:cstheme="minorHAnsi"/>
        </w:rPr>
        <w:t xml:space="preserve">In its ETF and index funds report for 2021, </w:t>
      </w:r>
      <w:r w:rsidR="00223899" w:rsidRPr="00F57721">
        <w:rPr>
          <w:rFonts w:cstheme="minorHAnsi"/>
        </w:rPr>
        <w:t xml:space="preserve">Investor </w:t>
      </w:r>
      <w:r w:rsidR="0021112C" w:rsidRPr="00F57721">
        <w:rPr>
          <w:rFonts w:cstheme="minorHAnsi"/>
        </w:rPr>
        <w:t>E</w:t>
      </w:r>
      <w:r w:rsidR="00223899" w:rsidRPr="00F57721">
        <w:rPr>
          <w:rFonts w:cstheme="minorHAnsi"/>
        </w:rPr>
        <w:t>conomics report</w:t>
      </w:r>
      <w:r w:rsidR="003D3FEB" w:rsidRPr="00F57721">
        <w:rPr>
          <w:rFonts w:cstheme="minorHAnsi"/>
        </w:rPr>
        <w:t xml:space="preserve">ed </w:t>
      </w:r>
      <w:r w:rsidR="000A2FC0" w:rsidRPr="00F57721">
        <w:rPr>
          <w:rFonts w:cstheme="minorHAnsi"/>
        </w:rPr>
        <w:t xml:space="preserve">that </w:t>
      </w:r>
      <w:r w:rsidR="00223899" w:rsidRPr="00F57721">
        <w:rPr>
          <w:rFonts w:cstheme="minorHAnsi"/>
        </w:rPr>
        <w:t xml:space="preserve">$7.7 billion </w:t>
      </w:r>
      <w:r w:rsidR="000A2FC0" w:rsidRPr="00F57721">
        <w:rPr>
          <w:rFonts w:cstheme="minorHAnsi"/>
        </w:rPr>
        <w:t xml:space="preserve">was invested </w:t>
      </w:r>
      <w:r w:rsidR="00223899" w:rsidRPr="00F57721">
        <w:rPr>
          <w:rFonts w:cstheme="minorHAnsi"/>
        </w:rPr>
        <w:t xml:space="preserve">in </w:t>
      </w:r>
      <w:r w:rsidR="003D3FEB" w:rsidRPr="00F57721">
        <w:rPr>
          <w:rFonts w:cstheme="minorHAnsi"/>
        </w:rPr>
        <w:t xml:space="preserve">Canadian </w:t>
      </w:r>
      <w:r w:rsidR="00223899" w:rsidRPr="00F57721">
        <w:rPr>
          <w:rFonts w:cstheme="minorHAnsi"/>
        </w:rPr>
        <w:t>ESG ETF</w:t>
      </w:r>
      <w:r w:rsidR="003D3FEB" w:rsidRPr="00F57721">
        <w:rPr>
          <w:rFonts w:cstheme="minorHAnsi"/>
        </w:rPr>
        <w:t xml:space="preserve"> assets by the end of last year</w:t>
      </w:r>
      <w:r w:rsidR="00214FD6" w:rsidRPr="00F57721">
        <w:rPr>
          <w:rFonts w:cstheme="minorHAnsi"/>
        </w:rPr>
        <w:t>, up from $2.75 billion the year</w:t>
      </w:r>
      <w:r w:rsidR="006342C2" w:rsidRPr="00F57721">
        <w:rPr>
          <w:rFonts w:cstheme="minorHAnsi"/>
        </w:rPr>
        <w:t xml:space="preserve"> before</w:t>
      </w:r>
      <w:r w:rsidR="00223899" w:rsidRPr="00F57721">
        <w:rPr>
          <w:rFonts w:cstheme="minorHAnsi"/>
        </w:rPr>
        <w:t>.</w:t>
      </w:r>
      <w:r w:rsidR="003D3FEB" w:rsidRPr="00F57721">
        <w:rPr>
          <w:rFonts w:cstheme="minorHAnsi"/>
        </w:rPr>
        <w:t xml:space="preserve"> </w:t>
      </w:r>
      <w:r w:rsidR="006342C2" w:rsidRPr="00F57721">
        <w:rPr>
          <w:rFonts w:cstheme="minorHAnsi"/>
        </w:rPr>
        <w:t>T</w:t>
      </w:r>
      <w:r w:rsidR="003D3FEB" w:rsidRPr="00F57721">
        <w:rPr>
          <w:rFonts w:cstheme="minorHAnsi"/>
        </w:rPr>
        <w:t xml:space="preserve">he </w:t>
      </w:r>
      <w:r w:rsidRPr="00F57721">
        <w:rPr>
          <w:rFonts w:cstheme="minorHAnsi"/>
        </w:rPr>
        <w:t xml:space="preserve">worldwide </w:t>
      </w:r>
      <w:r w:rsidR="003D3FEB" w:rsidRPr="00F57721">
        <w:rPr>
          <w:rFonts w:cstheme="minorHAnsi"/>
        </w:rPr>
        <w:t>growth picture is equally impressive: the ESG ETF industry had 954 products, 2,730 listings, $US</w:t>
      </w:r>
      <w:r w:rsidR="0021112C" w:rsidRPr="00F57721">
        <w:rPr>
          <w:rFonts w:cstheme="minorHAnsi"/>
        </w:rPr>
        <w:t xml:space="preserve"> </w:t>
      </w:r>
      <w:r w:rsidR="003D3FEB" w:rsidRPr="00F57721">
        <w:rPr>
          <w:rFonts w:cstheme="minorHAnsi"/>
        </w:rPr>
        <w:t xml:space="preserve">379 billion in AUM, and 188 providers in 32 countries, ETFGI </w:t>
      </w:r>
      <w:r w:rsidR="00867403" w:rsidRPr="00F57721">
        <w:rPr>
          <w:rFonts w:cstheme="minorHAnsi"/>
        </w:rPr>
        <w:t>announc</w:t>
      </w:r>
      <w:r w:rsidR="003D3FEB" w:rsidRPr="00F57721">
        <w:rPr>
          <w:rFonts w:cstheme="minorHAnsi"/>
        </w:rPr>
        <w:t>ed in February.</w:t>
      </w:r>
    </w:p>
    <w:p w14:paraId="6EC16BB0" w14:textId="0D4D25D1" w:rsidR="000A2FC0" w:rsidRPr="00F57721" w:rsidRDefault="000A2FC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4C472C44" w14:textId="036C793B" w:rsidR="00CA176B" w:rsidRPr="00F57721" w:rsidRDefault="00214FD6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Accompanying </w:t>
      </w:r>
      <w:r w:rsidR="00F81DCB" w:rsidRPr="00F57721">
        <w:rPr>
          <w:rFonts w:cstheme="minorHAnsi"/>
        </w:rPr>
        <w:t>this</w:t>
      </w:r>
      <w:r w:rsidR="00CA176B" w:rsidRPr="00F57721">
        <w:rPr>
          <w:rFonts w:cstheme="minorHAnsi"/>
        </w:rPr>
        <w:t xml:space="preserve"> extraordinary</w:t>
      </w:r>
      <w:r w:rsidR="004A266F" w:rsidRPr="00F57721">
        <w:rPr>
          <w:rFonts w:cstheme="minorHAnsi"/>
        </w:rPr>
        <w:t xml:space="preserve"> upward </w:t>
      </w:r>
      <w:r w:rsidR="00F81DCB" w:rsidRPr="00F57721">
        <w:rPr>
          <w:rFonts w:cstheme="minorHAnsi"/>
        </w:rPr>
        <w:t>trend</w:t>
      </w:r>
      <w:r w:rsidR="0071097B" w:rsidRPr="00F57721">
        <w:rPr>
          <w:rFonts w:cstheme="minorHAnsi"/>
        </w:rPr>
        <w:t xml:space="preserve">, </w:t>
      </w:r>
      <w:r w:rsidR="004A266F" w:rsidRPr="00F57721">
        <w:rPr>
          <w:rFonts w:cstheme="minorHAnsi"/>
        </w:rPr>
        <w:t xml:space="preserve">and the </w:t>
      </w:r>
      <w:r w:rsidR="0071097B" w:rsidRPr="00F57721">
        <w:rPr>
          <w:rFonts w:cstheme="minorHAnsi"/>
        </w:rPr>
        <w:t xml:space="preserve">corresponding </w:t>
      </w:r>
      <w:r w:rsidR="004A266F" w:rsidRPr="00F57721">
        <w:rPr>
          <w:rFonts w:cstheme="minorHAnsi"/>
        </w:rPr>
        <w:t>need to validate ESG differentiation claim</w:t>
      </w:r>
      <w:r w:rsidR="00CA176B" w:rsidRPr="00F57721">
        <w:rPr>
          <w:rFonts w:cstheme="minorHAnsi"/>
        </w:rPr>
        <w:t>s</w:t>
      </w:r>
      <w:r w:rsidR="0071097B" w:rsidRPr="00F57721">
        <w:rPr>
          <w:rFonts w:cstheme="minorHAnsi"/>
        </w:rPr>
        <w:t>,</w:t>
      </w:r>
      <w:r w:rsidR="004A266F" w:rsidRPr="00F57721">
        <w:rPr>
          <w:rFonts w:cstheme="minorHAnsi"/>
        </w:rPr>
        <w:t xml:space="preserve"> </w:t>
      </w:r>
      <w:r w:rsidR="00F81DCB" w:rsidRPr="00F57721">
        <w:rPr>
          <w:rFonts w:cstheme="minorHAnsi"/>
        </w:rPr>
        <w:t>has come a</w:t>
      </w:r>
      <w:r w:rsidR="006340D6" w:rsidRPr="00F57721">
        <w:rPr>
          <w:rFonts w:cstheme="minorHAnsi"/>
        </w:rPr>
        <w:t>n entire</w:t>
      </w:r>
      <w:r w:rsidR="0071097B" w:rsidRPr="00F57721">
        <w:rPr>
          <w:rFonts w:cstheme="minorHAnsi"/>
        </w:rPr>
        <w:t xml:space="preserve"> </w:t>
      </w:r>
      <w:r w:rsidR="004A266F" w:rsidRPr="00F57721">
        <w:rPr>
          <w:rFonts w:cstheme="minorHAnsi"/>
        </w:rPr>
        <w:t xml:space="preserve">ESG </w:t>
      </w:r>
      <w:r w:rsidRPr="00F57721">
        <w:rPr>
          <w:rFonts w:cstheme="minorHAnsi"/>
        </w:rPr>
        <w:t xml:space="preserve">intelligence </w:t>
      </w:r>
      <w:r w:rsidR="00F81DCB" w:rsidRPr="00F57721">
        <w:rPr>
          <w:rFonts w:cstheme="minorHAnsi"/>
        </w:rPr>
        <w:t>ecosystem</w:t>
      </w:r>
      <w:r w:rsidR="004A266F" w:rsidRPr="00F57721">
        <w:rPr>
          <w:rFonts w:cstheme="minorHAnsi"/>
        </w:rPr>
        <w:t>. It includes a</w:t>
      </w:r>
      <w:r w:rsidR="00CA176B" w:rsidRPr="00F57721">
        <w:rPr>
          <w:rFonts w:cstheme="minorHAnsi"/>
        </w:rPr>
        <w:t>n</w:t>
      </w:r>
      <w:r w:rsidR="004A266F" w:rsidRPr="00F57721">
        <w:rPr>
          <w:rFonts w:cstheme="minorHAnsi"/>
        </w:rPr>
        <w:t xml:space="preserve"> array of ESG principles</w:t>
      </w:r>
      <w:r w:rsidR="00CA176B" w:rsidRPr="00F57721">
        <w:rPr>
          <w:rFonts w:cstheme="minorHAnsi"/>
        </w:rPr>
        <w:t xml:space="preserve"> and standards</w:t>
      </w:r>
      <w:r w:rsidR="004A266F" w:rsidRPr="00F57721">
        <w:rPr>
          <w:rFonts w:cstheme="minorHAnsi"/>
        </w:rPr>
        <w:t xml:space="preserve">, assessment </w:t>
      </w:r>
      <w:r w:rsidR="00CA176B" w:rsidRPr="00F57721">
        <w:rPr>
          <w:rFonts w:cstheme="minorHAnsi"/>
        </w:rPr>
        <w:t xml:space="preserve">and scoring </w:t>
      </w:r>
      <w:r w:rsidR="004A266F" w:rsidRPr="00F57721">
        <w:rPr>
          <w:rFonts w:cstheme="minorHAnsi"/>
        </w:rPr>
        <w:t xml:space="preserve">criteria, </w:t>
      </w:r>
      <w:r w:rsidR="00F81DCB" w:rsidRPr="00F57721">
        <w:rPr>
          <w:rFonts w:cstheme="minorHAnsi"/>
        </w:rPr>
        <w:t xml:space="preserve">financial management methodologies, analytical </w:t>
      </w:r>
      <w:proofErr w:type="gramStart"/>
      <w:r w:rsidR="00F81DCB" w:rsidRPr="00F57721">
        <w:rPr>
          <w:rFonts w:cstheme="minorHAnsi"/>
        </w:rPr>
        <w:t>tools</w:t>
      </w:r>
      <w:proofErr w:type="gramEnd"/>
      <w:r w:rsidR="00F81DCB" w:rsidRPr="00F57721">
        <w:rPr>
          <w:rFonts w:cstheme="minorHAnsi"/>
        </w:rPr>
        <w:t xml:space="preserve"> and information resources to support investment measurement, selection</w:t>
      </w:r>
      <w:r w:rsidR="00CA176B" w:rsidRPr="00F57721">
        <w:rPr>
          <w:rFonts w:cstheme="minorHAnsi"/>
        </w:rPr>
        <w:t>/</w:t>
      </w:r>
      <w:r w:rsidR="00F81DCB" w:rsidRPr="00F57721">
        <w:rPr>
          <w:rFonts w:cstheme="minorHAnsi"/>
        </w:rPr>
        <w:t>rejection and comparison.</w:t>
      </w:r>
      <w:r w:rsidR="00C9152C" w:rsidRPr="00F57721">
        <w:rPr>
          <w:rFonts w:cstheme="minorHAnsi"/>
        </w:rPr>
        <w:t xml:space="preserve"> Your firm is likely a subscriber to </w:t>
      </w:r>
      <w:r w:rsidR="000948CD" w:rsidRPr="00F57721">
        <w:rPr>
          <w:rFonts w:cstheme="minorHAnsi"/>
          <w:i/>
          <w:iCs/>
        </w:rPr>
        <w:t>at least</w:t>
      </w:r>
      <w:r w:rsidR="000948CD" w:rsidRPr="00F57721">
        <w:rPr>
          <w:rFonts w:cstheme="minorHAnsi"/>
        </w:rPr>
        <w:t xml:space="preserve"> </w:t>
      </w:r>
      <w:r w:rsidR="00C9152C" w:rsidRPr="00F57721">
        <w:rPr>
          <w:rFonts w:cstheme="minorHAnsi"/>
        </w:rPr>
        <w:t>one</w:t>
      </w:r>
      <w:r w:rsidR="00867403" w:rsidRPr="00F57721">
        <w:rPr>
          <w:rFonts w:cstheme="minorHAnsi"/>
        </w:rPr>
        <w:t xml:space="preserve"> </w:t>
      </w:r>
      <w:r w:rsidR="00C9152C" w:rsidRPr="00F57721">
        <w:rPr>
          <w:rFonts w:cstheme="minorHAnsi"/>
        </w:rPr>
        <w:t xml:space="preserve">ESG reporting </w:t>
      </w:r>
      <w:r w:rsidR="00867403" w:rsidRPr="00F57721">
        <w:rPr>
          <w:rFonts w:cstheme="minorHAnsi"/>
        </w:rPr>
        <w:t xml:space="preserve">platform </w:t>
      </w:r>
      <w:r w:rsidR="00C9152C" w:rsidRPr="00F57721">
        <w:rPr>
          <w:rFonts w:cstheme="minorHAnsi"/>
        </w:rPr>
        <w:t xml:space="preserve">from a host of reputable </w:t>
      </w:r>
      <w:r w:rsidR="00867403" w:rsidRPr="00F57721">
        <w:rPr>
          <w:rFonts w:cstheme="minorHAnsi"/>
        </w:rPr>
        <w:t xml:space="preserve">international </w:t>
      </w:r>
      <w:r w:rsidR="00C9152C" w:rsidRPr="00F57721">
        <w:rPr>
          <w:rFonts w:cstheme="minorHAnsi"/>
        </w:rPr>
        <w:t>firms.</w:t>
      </w:r>
      <w:r w:rsidRPr="00F57721">
        <w:rPr>
          <w:rFonts w:cstheme="minorHAnsi"/>
        </w:rPr>
        <w:t xml:space="preserve"> </w:t>
      </w:r>
      <w:r w:rsidR="000A2FC0" w:rsidRPr="00F57721">
        <w:rPr>
          <w:rFonts w:cstheme="minorHAnsi"/>
        </w:rPr>
        <w:t>Y</w:t>
      </w:r>
      <w:r w:rsidR="00867403" w:rsidRPr="00F57721">
        <w:rPr>
          <w:rFonts w:cstheme="minorHAnsi"/>
        </w:rPr>
        <w:t xml:space="preserve">ou can also </w:t>
      </w:r>
      <w:r w:rsidR="000948CD" w:rsidRPr="00F57721">
        <w:rPr>
          <w:rFonts w:cstheme="minorHAnsi"/>
        </w:rPr>
        <w:t xml:space="preserve">use </w:t>
      </w:r>
      <w:r w:rsidR="00867403" w:rsidRPr="00F57721">
        <w:rPr>
          <w:rFonts w:cstheme="minorHAnsi"/>
        </w:rPr>
        <w:t xml:space="preserve">online </w:t>
      </w:r>
      <w:r w:rsidRPr="00F57721">
        <w:rPr>
          <w:rFonts w:cstheme="minorHAnsi"/>
        </w:rPr>
        <w:t>screeners from NEO</w:t>
      </w:r>
      <w:r w:rsidR="00867403" w:rsidRPr="00F57721">
        <w:rPr>
          <w:rFonts w:cstheme="minorHAnsi"/>
        </w:rPr>
        <w:t xml:space="preserve"> ETF Market</w:t>
      </w:r>
      <w:r w:rsidRPr="00F57721">
        <w:rPr>
          <w:rFonts w:cstheme="minorHAnsi"/>
        </w:rPr>
        <w:t xml:space="preserve">, TMX Money </w:t>
      </w:r>
      <w:r w:rsidR="00C44CC9" w:rsidRPr="00F57721">
        <w:rPr>
          <w:rFonts w:cstheme="minorHAnsi"/>
        </w:rPr>
        <w:t xml:space="preserve">– </w:t>
      </w:r>
      <w:r w:rsidRPr="00F57721">
        <w:rPr>
          <w:rFonts w:cstheme="minorHAnsi"/>
        </w:rPr>
        <w:t xml:space="preserve">and CETFA </w:t>
      </w:r>
      <w:r w:rsidR="00C44CC9" w:rsidRPr="00F57721">
        <w:rPr>
          <w:rFonts w:cstheme="minorHAnsi"/>
        </w:rPr>
        <w:t xml:space="preserve">– </w:t>
      </w:r>
      <w:r w:rsidR="00867403" w:rsidRPr="00F57721">
        <w:rPr>
          <w:rFonts w:cstheme="minorHAnsi"/>
        </w:rPr>
        <w:t xml:space="preserve">that </w:t>
      </w:r>
      <w:r w:rsidRPr="00F57721">
        <w:rPr>
          <w:rFonts w:cstheme="minorHAnsi"/>
        </w:rPr>
        <w:t xml:space="preserve">offer </w:t>
      </w:r>
      <w:r w:rsidR="00867403" w:rsidRPr="00F57721">
        <w:rPr>
          <w:rFonts w:cstheme="minorHAnsi"/>
        </w:rPr>
        <w:t>free</w:t>
      </w:r>
      <w:r w:rsidR="00EC3CD5" w:rsidRPr="00F57721">
        <w:rPr>
          <w:rFonts w:cstheme="minorHAnsi"/>
        </w:rPr>
        <w:t xml:space="preserve">, </w:t>
      </w:r>
      <w:proofErr w:type="gramStart"/>
      <w:r w:rsidR="00EC3CD5" w:rsidRPr="00F57721">
        <w:rPr>
          <w:rFonts w:cstheme="minorHAnsi"/>
        </w:rPr>
        <w:t>fast</w:t>
      </w:r>
      <w:proofErr w:type="gramEnd"/>
      <w:r w:rsidR="00EC3CD5" w:rsidRPr="00F57721">
        <w:rPr>
          <w:rFonts w:cstheme="minorHAnsi"/>
        </w:rPr>
        <w:t xml:space="preserve"> and easy</w:t>
      </w:r>
      <w:r w:rsidR="00867403" w:rsidRPr="00F57721">
        <w:rPr>
          <w:rFonts w:cstheme="minorHAnsi"/>
        </w:rPr>
        <w:t xml:space="preserve"> </w:t>
      </w:r>
      <w:r w:rsidRPr="00F57721">
        <w:rPr>
          <w:rFonts w:cstheme="minorHAnsi"/>
        </w:rPr>
        <w:t xml:space="preserve">access to </w:t>
      </w:r>
      <w:r w:rsidR="00867403" w:rsidRPr="00F57721">
        <w:rPr>
          <w:rFonts w:cstheme="minorHAnsi"/>
        </w:rPr>
        <w:t>search for ESG</w:t>
      </w:r>
      <w:r w:rsidR="00225542" w:rsidRPr="00F57721">
        <w:rPr>
          <w:rFonts w:cstheme="minorHAnsi"/>
        </w:rPr>
        <w:t>-oriented</w:t>
      </w:r>
      <w:r w:rsidR="00867403" w:rsidRPr="00F57721">
        <w:rPr>
          <w:rFonts w:cstheme="minorHAnsi"/>
        </w:rPr>
        <w:t xml:space="preserve"> ETFs (</w:t>
      </w:r>
      <w:r w:rsidR="000948CD" w:rsidRPr="00F57721">
        <w:rPr>
          <w:rFonts w:cstheme="minorHAnsi"/>
        </w:rPr>
        <w:t xml:space="preserve">and </w:t>
      </w:r>
      <w:r w:rsidR="00A44180" w:rsidRPr="00F57721">
        <w:rPr>
          <w:rFonts w:cstheme="minorHAnsi"/>
        </w:rPr>
        <w:t xml:space="preserve">which </w:t>
      </w:r>
      <w:r w:rsidR="000A2FC0" w:rsidRPr="00F57721">
        <w:rPr>
          <w:rFonts w:cstheme="minorHAnsi"/>
        </w:rPr>
        <w:t xml:space="preserve">also </w:t>
      </w:r>
      <w:r w:rsidR="00867403" w:rsidRPr="00F57721">
        <w:rPr>
          <w:rFonts w:cstheme="minorHAnsi"/>
        </w:rPr>
        <w:t>support</w:t>
      </w:r>
      <w:r w:rsidR="00A44180" w:rsidRPr="00F57721">
        <w:rPr>
          <w:rFonts w:cstheme="minorHAnsi"/>
        </w:rPr>
        <w:t xml:space="preserve"> meeting</w:t>
      </w:r>
      <w:r w:rsidR="00867403" w:rsidRPr="00F57721">
        <w:rPr>
          <w:rFonts w:cstheme="minorHAnsi"/>
        </w:rPr>
        <w:t xml:space="preserve"> </w:t>
      </w:r>
      <w:r w:rsidR="0021112C" w:rsidRPr="00F57721">
        <w:rPr>
          <w:rFonts w:cstheme="minorHAnsi"/>
        </w:rPr>
        <w:t>client-focused reforms</w:t>
      </w:r>
      <w:r w:rsidR="000A2FC0" w:rsidRPr="00F57721">
        <w:rPr>
          <w:rFonts w:cstheme="minorHAnsi"/>
        </w:rPr>
        <w:t>’</w:t>
      </w:r>
      <w:r w:rsidR="0021112C" w:rsidRPr="00F57721">
        <w:rPr>
          <w:rFonts w:cstheme="minorHAnsi"/>
        </w:rPr>
        <w:t xml:space="preserve"> </w:t>
      </w:r>
      <w:r w:rsidR="00867403" w:rsidRPr="00F57721">
        <w:rPr>
          <w:rFonts w:cstheme="minorHAnsi"/>
        </w:rPr>
        <w:t>KYP requirements).</w:t>
      </w:r>
    </w:p>
    <w:p w14:paraId="13D2EAE2" w14:textId="6B872E1D" w:rsidR="00214FD6" w:rsidRPr="00F57721" w:rsidRDefault="00214FD6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42AA3E08" w14:textId="1804DA17" w:rsidR="00214FD6" w:rsidRPr="00F57721" w:rsidRDefault="00214FD6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Not only is there no lack of information for investment professionals to make ESG </w:t>
      </w:r>
      <w:r w:rsidR="00503674" w:rsidRPr="00F57721">
        <w:rPr>
          <w:rFonts w:cstheme="minorHAnsi"/>
        </w:rPr>
        <w:t xml:space="preserve">selection </w:t>
      </w:r>
      <w:r w:rsidRPr="00F57721">
        <w:rPr>
          <w:rFonts w:cstheme="minorHAnsi"/>
        </w:rPr>
        <w:t xml:space="preserve">decisions, </w:t>
      </w:r>
      <w:proofErr w:type="gramStart"/>
      <w:r w:rsidRPr="00F57721">
        <w:rPr>
          <w:rFonts w:cstheme="minorHAnsi"/>
        </w:rPr>
        <w:t>there is</w:t>
      </w:r>
      <w:proofErr w:type="gramEnd"/>
      <w:r w:rsidRPr="00F57721">
        <w:rPr>
          <w:rFonts w:cstheme="minorHAnsi"/>
        </w:rPr>
        <w:t xml:space="preserve"> </w:t>
      </w:r>
      <w:r w:rsidR="000948CD" w:rsidRPr="00F57721">
        <w:rPr>
          <w:rFonts w:cstheme="minorHAnsi"/>
        </w:rPr>
        <w:t xml:space="preserve">probably </w:t>
      </w:r>
      <w:r w:rsidRPr="00F57721">
        <w:rPr>
          <w:rFonts w:cstheme="minorHAnsi"/>
        </w:rPr>
        <w:t>too much</w:t>
      </w:r>
      <w:r w:rsidR="00867403" w:rsidRPr="00F57721">
        <w:rPr>
          <w:rFonts w:cstheme="minorHAnsi"/>
        </w:rPr>
        <w:t xml:space="preserve"> and it may not always be helpful. More than </w:t>
      </w:r>
      <w:r w:rsidR="000A2FC0" w:rsidRPr="00F57721">
        <w:rPr>
          <w:rFonts w:cstheme="minorHAnsi"/>
        </w:rPr>
        <w:t xml:space="preserve">a few </w:t>
      </w:r>
      <w:r w:rsidR="009536EF" w:rsidRPr="00F57721">
        <w:rPr>
          <w:rFonts w:cstheme="minorHAnsi"/>
        </w:rPr>
        <w:t xml:space="preserve">frank </w:t>
      </w:r>
      <w:r w:rsidR="00867403" w:rsidRPr="00F57721">
        <w:rPr>
          <w:rFonts w:cstheme="minorHAnsi"/>
        </w:rPr>
        <w:t>observer</w:t>
      </w:r>
      <w:r w:rsidR="000A2FC0" w:rsidRPr="00F57721">
        <w:rPr>
          <w:rFonts w:cstheme="minorHAnsi"/>
        </w:rPr>
        <w:t>s</w:t>
      </w:r>
      <w:r w:rsidR="00867403" w:rsidRPr="00F57721">
        <w:rPr>
          <w:rFonts w:cstheme="minorHAnsi"/>
        </w:rPr>
        <w:t xml:space="preserve"> ha</w:t>
      </w:r>
      <w:r w:rsidR="000A2FC0" w:rsidRPr="00F57721">
        <w:rPr>
          <w:rFonts w:cstheme="minorHAnsi"/>
        </w:rPr>
        <w:t>ve c</w:t>
      </w:r>
      <w:r w:rsidR="00503674" w:rsidRPr="00F57721">
        <w:rPr>
          <w:rFonts w:cstheme="minorHAnsi"/>
        </w:rPr>
        <w:t>alle</w:t>
      </w:r>
      <w:r w:rsidR="000A2FC0" w:rsidRPr="00F57721">
        <w:rPr>
          <w:rFonts w:cstheme="minorHAnsi"/>
        </w:rPr>
        <w:t>d</w:t>
      </w:r>
      <w:r w:rsidR="00867403" w:rsidRPr="00F57721">
        <w:rPr>
          <w:rFonts w:cstheme="minorHAnsi"/>
        </w:rPr>
        <w:t xml:space="preserve"> </w:t>
      </w:r>
      <w:r w:rsidR="00503674" w:rsidRPr="00F57721">
        <w:rPr>
          <w:rFonts w:cstheme="minorHAnsi"/>
        </w:rPr>
        <w:t xml:space="preserve">out </w:t>
      </w:r>
      <w:r w:rsidR="00867403" w:rsidRPr="00F57721">
        <w:rPr>
          <w:rFonts w:cstheme="minorHAnsi"/>
        </w:rPr>
        <w:t xml:space="preserve">inconsistencies in ESG ratings and assessment criteria. These </w:t>
      </w:r>
      <w:r w:rsidR="00503674" w:rsidRPr="00F57721">
        <w:rPr>
          <w:rFonts w:cstheme="minorHAnsi"/>
        </w:rPr>
        <w:t xml:space="preserve">criticisms </w:t>
      </w:r>
      <w:r w:rsidR="00867403" w:rsidRPr="00F57721">
        <w:rPr>
          <w:rFonts w:cstheme="minorHAnsi"/>
        </w:rPr>
        <w:t>have not diminished the appeal of</w:t>
      </w:r>
      <w:r w:rsidR="0021112C" w:rsidRPr="00F57721">
        <w:rPr>
          <w:rFonts w:cstheme="minorHAnsi"/>
        </w:rPr>
        <w:t xml:space="preserve"> ESG</w:t>
      </w:r>
      <w:r w:rsidR="00867403" w:rsidRPr="00F57721">
        <w:rPr>
          <w:rFonts w:cstheme="minorHAnsi"/>
        </w:rPr>
        <w:t xml:space="preserve"> products for investors</w:t>
      </w:r>
      <w:r w:rsidR="00503674" w:rsidRPr="00F57721">
        <w:rPr>
          <w:rFonts w:cstheme="minorHAnsi"/>
        </w:rPr>
        <w:t>. B</w:t>
      </w:r>
      <w:r w:rsidR="00867403" w:rsidRPr="00F57721">
        <w:rPr>
          <w:rFonts w:cstheme="minorHAnsi"/>
        </w:rPr>
        <w:t>ut they do undermine confidence</w:t>
      </w:r>
      <w:r w:rsidR="00C44CC9" w:rsidRPr="00F57721">
        <w:rPr>
          <w:rFonts w:cstheme="minorHAnsi"/>
        </w:rPr>
        <w:t xml:space="preserve"> among investment professionals</w:t>
      </w:r>
      <w:r w:rsidR="000A2FC0" w:rsidRPr="00F57721">
        <w:rPr>
          <w:rFonts w:cstheme="minorHAnsi"/>
        </w:rPr>
        <w:t xml:space="preserve"> </w:t>
      </w:r>
      <w:r w:rsidR="00A44180" w:rsidRPr="00F57721">
        <w:rPr>
          <w:rFonts w:cstheme="minorHAnsi"/>
        </w:rPr>
        <w:t xml:space="preserve">about </w:t>
      </w:r>
      <w:r w:rsidR="00867403" w:rsidRPr="00F57721">
        <w:rPr>
          <w:rFonts w:cstheme="minorHAnsi"/>
        </w:rPr>
        <w:t xml:space="preserve">the legitimacy of ESG </w:t>
      </w:r>
      <w:r w:rsidR="000948CD" w:rsidRPr="00F57721">
        <w:rPr>
          <w:rFonts w:cstheme="minorHAnsi"/>
        </w:rPr>
        <w:t xml:space="preserve">labels </w:t>
      </w:r>
      <w:r w:rsidR="0021112C" w:rsidRPr="00F57721">
        <w:rPr>
          <w:rFonts w:cstheme="minorHAnsi"/>
        </w:rPr>
        <w:t xml:space="preserve">and </w:t>
      </w:r>
      <w:r w:rsidR="00503674" w:rsidRPr="00F57721">
        <w:rPr>
          <w:rFonts w:cstheme="minorHAnsi"/>
        </w:rPr>
        <w:t xml:space="preserve">in </w:t>
      </w:r>
      <w:r w:rsidR="0021112C" w:rsidRPr="00F57721">
        <w:rPr>
          <w:rFonts w:cstheme="minorHAnsi"/>
        </w:rPr>
        <w:t>making recommendations</w:t>
      </w:r>
      <w:r w:rsidR="00867403" w:rsidRPr="00F57721">
        <w:rPr>
          <w:rFonts w:cstheme="minorHAnsi"/>
        </w:rPr>
        <w:t>.</w:t>
      </w:r>
    </w:p>
    <w:p w14:paraId="5B4D68DA" w14:textId="43BC5BF2" w:rsidR="00D30634" w:rsidRPr="00F57721" w:rsidRDefault="00D3063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6C2F6824" w14:textId="72A33B3C" w:rsidR="00D30634" w:rsidRPr="00F57721" w:rsidRDefault="000948CD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b/>
          <w:bCs/>
        </w:rPr>
      </w:pPr>
      <w:r w:rsidRPr="00F57721">
        <w:rPr>
          <w:rFonts w:cstheme="minorHAnsi"/>
          <w:b/>
          <w:bCs/>
        </w:rPr>
        <w:t>The sector recognizes it needs to improve when it comes to ESG classifications</w:t>
      </w:r>
    </w:p>
    <w:p w14:paraId="5B3314C1" w14:textId="77777777" w:rsidR="00D30634" w:rsidRPr="00F57721" w:rsidRDefault="00D3063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152CAE23" w14:textId="4F640A36" w:rsidR="00F81DCB" w:rsidRPr="00F57721" w:rsidRDefault="000A2FC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Challenges from the absence of a robust</w:t>
      </w:r>
      <w:r w:rsidR="00095AB3" w:rsidRPr="00F57721">
        <w:rPr>
          <w:rFonts w:cstheme="minorHAnsi"/>
        </w:rPr>
        <w:t>,</w:t>
      </w:r>
      <w:r w:rsidRPr="00F57721">
        <w:rPr>
          <w:rFonts w:cstheme="minorHAnsi"/>
        </w:rPr>
        <w:t xml:space="preserve"> </w:t>
      </w:r>
      <w:r w:rsidRPr="00F57721">
        <w:rPr>
          <w:rFonts w:cstheme="minorHAnsi"/>
          <w:i/>
          <w:iCs/>
        </w:rPr>
        <w:t>uniform</w:t>
      </w:r>
      <w:r w:rsidRPr="00F57721">
        <w:rPr>
          <w:rFonts w:cstheme="minorHAnsi"/>
        </w:rPr>
        <w:t xml:space="preserve"> set of ESG decision criteria are</w:t>
      </w:r>
      <w:r w:rsidR="00503674" w:rsidRPr="00F57721">
        <w:rPr>
          <w:rFonts w:cstheme="minorHAnsi"/>
        </w:rPr>
        <w:t xml:space="preserve"> recognized</w:t>
      </w:r>
      <w:r w:rsidRPr="00F57721">
        <w:rPr>
          <w:rFonts w:cstheme="minorHAnsi"/>
        </w:rPr>
        <w:t xml:space="preserve"> and have aroused skepticism and caused confusion within the sector – we know this. </w:t>
      </w:r>
      <w:r w:rsidR="00503674" w:rsidRPr="00F57721">
        <w:rPr>
          <w:rFonts w:cstheme="minorHAnsi"/>
        </w:rPr>
        <w:t xml:space="preserve">Investor demand </w:t>
      </w:r>
      <w:r w:rsidR="004A266F" w:rsidRPr="00F57721">
        <w:rPr>
          <w:rFonts w:cstheme="minorHAnsi"/>
        </w:rPr>
        <w:t xml:space="preserve">for ESG investment opportunities has also </w:t>
      </w:r>
      <w:r w:rsidR="00503674" w:rsidRPr="00F57721">
        <w:rPr>
          <w:rFonts w:cstheme="minorHAnsi"/>
        </w:rPr>
        <w:t xml:space="preserve">stimulated </w:t>
      </w:r>
      <w:r w:rsidR="00CA176B" w:rsidRPr="00F57721">
        <w:rPr>
          <w:rFonts w:cstheme="minorHAnsi"/>
        </w:rPr>
        <w:t xml:space="preserve">an increase in </w:t>
      </w:r>
      <w:r w:rsidR="004A266F" w:rsidRPr="00F57721">
        <w:rPr>
          <w:rFonts w:cstheme="minorHAnsi"/>
        </w:rPr>
        <w:t xml:space="preserve">dubious </w:t>
      </w:r>
      <w:r w:rsidR="0071097B" w:rsidRPr="00F57721">
        <w:rPr>
          <w:rFonts w:cstheme="minorHAnsi"/>
        </w:rPr>
        <w:t xml:space="preserve">competitive-advantage-seeking </w:t>
      </w:r>
      <w:r w:rsidR="004A266F" w:rsidRPr="00F57721">
        <w:rPr>
          <w:rFonts w:cstheme="minorHAnsi"/>
        </w:rPr>
        <w:t xml:space="preserve">claims that have led to </w:t>
      </w:r>
      <w:r w:rsidR="00CA176B" w:rsidRPr="00F57721">
        <w:rPr>
          <w:rFonts w:cstheme="minorHAnsi"/>
        </w:rPr>
        <w:t xml:space="preserve">charges of </w:t>
      </w:r>
      <w:r w:rsidR="004A266F" w:rsidRPr="00F57721">
        <w:rPr>
          <w:rFonts w:cstheme="minorHAnsi"/>
        </w:rPr>
        <w:t>“greenwashing” against some companies and investment</w:t>
      </w:r>
      <w:r w:rsidR="00A44180" w:rsidRPr="00F57721">
        <w:rPr>
          <w:rFonts w:cstheme="minorHAnsi"/>
        </w:rPr>
        <w:t xml:space="preserve"> fund</w:t>
      </w:r>
      <w:r w:rsidR="004A266F" w:rsidRPr="00F57721">
        <w:rPr>
          <w:rFonts w:cstheme="minorHAnsi"/>
        </w:rPr>
        <w:t>s.</w:t>
      </w:r>
      <w:r w:rsidR="00CA176B" w:rsidRPr="00F57721">
        <w:rPr>
          <w:rFonts w:cstheme="minorHAnsi"/>
        </w:rPr>
        <w:t xml:space="preserve"> Morningstar, one of the</w:t>
      </w:r>
      <w:r w:rsidR="00C44CC9" w:rsidRPr="00F57721">
        <w:rPr>
          <w:rFonts w:cstheme="minorHAnsi"/>
        </w:rPr>
        <w:t xml:space="preserve"> </w:t>
      </w:r>
      <w:r w:rsidR="00CA176B" w:rsidRPr="00F57721">
        <w:rPr>
          <w:rFonts w:cstheme="minorHAnsi"/>
        </w:rPr>
        <w:t>organizations that provide ESG rating/ranking system</w:t>
      </w:r>
      <w:r w:rsidR="00867403" w:rsidRPr="00F57721">
        <w:rPr>
          <w:rFonts w:cstheme="minorHAnsi"/>
        </w:rPr>
        <w:t>s</w:t>
      </w:r>
      <w:r w:rsidR="00CA176B" w:rsidRPr="00F57721">
        <w:rPr>
          <w:rFonts w:cstheme="minorHAnsi"/>
        </w:rPr>
        <w:t xml:space="preserve">, announced it was stripping </w:t>
      </w:r>
      <w:r w:rsidR="00C1572A" w:rsidRPr="00F57721">
        <w:rPr>
          <w:rFonts w:cstheme="minorHAnsi"/>
        </w:rPr>
        <w:t>1,200 funds (about one in five) w</w:t>
      </w:r>
      <w:r w:rsidR="00225542" w:rsidRPr="00F57721">
        <w:rPr>
          <w:rFonts w:cstheme="minorHAnsi"/>
        </w:rPr>
        <w:t>i</w:t>
      </w:r>
      <w:r w:rsidR="00C1572A" w:rsidRPr="00F57721">
        <w:rPr>
          <w:rFonts w:cstheme="minorHAnsi"/>
        </w:rPr>
        <w:t>th $US</w:t>
      </w:r>
      <w:r w:rsidR="0021112C" w:rsidRPr="00F57721">
        <w:rPr>
          <w:rFonts w:cstheme="minorHAnsi"/>
        </w:rPr>
        <w:t xml:space="preserve"> </w:t>
      </w:r>
      <w:r w:rsidR="00C1572A" w:rsidRPr="00F57721">
        <w:rPr>
          <w:rFonts w:cstheme="minorHAnsi"/>
        </w:rPr>
        <w:t xml:space="preserve">1 trillion in assets </w:t>
      </w:r>
      <w:r w:rsidR="00CA176B" w:rsidRPr="00F57721">
        <w:rPr>
          <w:rFonts w:cstheme="minorHAnsi"/>
        </w:rPr>
        <w:t>of their ESG status</w:t>
      </w:r>
      <w:r w:rsidR="00C1572A" w:rsidRPr="00F57721">
        <w:rPr>
          <w:rFonts w:cstheme="minorHAnsi"/>
        </w:rPr>
        <w:t>. Funds that used “light or ambiguous ESG language”</w:t>
      </w:r>
      <w:r w:rsidR="00867403" w:rsidRPr="00F57721">
        <w:rPr>
          <w:rFonts w:cstheme="minorHAnsi"/>
        </w:rPr>
        <w:t xml:space="preserve"> were removed</w:t>
      </w:r>
      <w:r w:rsidR="00C1572A" w:rsidRPr="00F57721">
        <w:rPr>
          <w:rFonts w:cstheme="minorHAnsi"/>
        </w:rPr>
        <w:t xml:space="preserve">, </w:t>
      </w:r>
      <w:hyperlink r:id="rId8" w:history="1">
        <w:r w:rsidR="00C1572A" w:rsidRPr="00F57721">
          <w:rPr>
            <w:rStyle w:val="Hyperlink"/>
            <w:rFonts w:cstheme="minorHAnsi"/>
          </w:rPr>
          <w:t>BNN Bloomberg</w:t>
        </w:r>
      </w:hyperlink>
      <w:r w:rsidR="00C1572A" w:rsidRPr="00F57721">
        <w:rPr>
          <w:rFonts w:cstheme="minorHAnsi"/>
        </w:rPr>
        <w:t xml:space="preserve"> reported in February</w:t>
      </w:r>
      <w:r w:rsidR="0071097B" w:rsidRPr="00F57721">
        <w:rPr>
          <w:rFonts w:cstheme="minorHAnsi"/>
        </w:rPr>
        <w:t xml:space="preserve">. </w:t>
      </w:r>
      <w:r w:rsidR="00560711" w:rsidRPr="00F57721">
        <w:rPr>
          <w:rFonts w:cstheme="minorHAnsi"/>
        </w:rPr>
        <w:t xml:space="preserve">Morningstar </w:t>
      </w:r>
      <w:r w:rsidR="0021112C" w:rsidRPr="00F57721">
        <w:rPr>
          <w:rFonts w:cstheme="minorHAnsi"/>
        </w:rPr>
        <w:t xml:space="preserve">apparently </w:t>
      </w:r>
      <w:r w:rsidR="00560711" w:rsidRPr="00F57721">
        <w:rPr>
          <w:rFonts w:cstheme="minorHAnsi"/>
        </w:rPr>
        <w:t>expects to catch more offside funds over time.</w:t>
      </w:r>
    </w:p>
    <w:p w14:paraId="6B46E033" w14:textId="19140076" w:rsidR="004A266F" w:rsidRPr="00F57721" w:rsidRDefault="004A266F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485408C1" w14:textId="3E7C55EC" w:rsidR="00F83754" w:rsidRPr="00F57721" w:rsidRDefault="000A2FC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Ultimately, investors who cannot trust an ESG claim will vote with their dollars and will either decline investing in or will pull </w:t>
      </w:r>
      <w:r w:rsidR="00503674" w:rsidRPr="00F57721">
        <w:rPr>
          <w:rFonts w:cstheme="minorHAnsi"/>
        </w:rPr>
        <w:t xml:space="preserve">investments out of </w:t>
      </w:r>
      <w:r w:rsidRPr="00F57721">
        <w:rPr>
          <w:rFonts w:cstheme="minorHAnsi"/>
        </w:rPr>
        <w:t>funds that don’t deliver on</w:t>
      </w:r>
      <w:r w:rsidR="00503674" w:rsidRPr="00F57721">
        <w:rPr>
          <w:rFonts w:cstheme="minorHAnsi"/>
        </w:rPr>
        <w:t xml:space="preserve"> their</w:t>
      </w:r>
      <w:r w:rsidRPr="00F57721">
        <w:rPr>
          <w:rFonts w:cstheme="minorHAnsi"/>
        </w:rPr>
        <w:t xml:space="preserve"> promise</w:t>
      </w:r>
      <w:r w:rsidR="000948CD" w:rsidRPr="00F57721">
        <w:rPr>
          <w:rFonts w:cstheme="minorHAnsi"/>
        </w:rPr>
        <w:t>s</w:t>
      </w:r>
      <w:r w:rsidRPr="00F57721">
        <w:rPr>
          <w:rFonts w:cstheme="minorHAnsi"/>
        </w:rPr>
        <w:t xml:space="preserve">. </w:t>
      </w:r>
      <w:r w:rsidR="00560711" w:rsidRPr="00F57721">
        <w:rPr>
          <w:rFonts w:cstheme="minorHAnsi"/>
        </w:rPr>
        <w:t>B</w:t>
      </w:r>
      <w:r w:rsidR="00CA3788" w:rsidRPr="00F57721">
        <w:rPr>
          <w:rFonts w:cstheme="minorHAnsi"/>
        </w:rPr>
        <w:t xml:space="preserve">road international agreement </w:t>
      </w:r>
      <w:r w:rsidR="00C44CC9" w:rsidRPr="00F57721">
        <w:rPr>
          <w:rFonts w:cstheme="minorHAnsi"/>
        </w:rPr>
        <w:t xml:space="preserve">underscores </w:t>
      </w:r>
      <w:r w:rsidR="00CA3788" w:rsidRPr="00F57721">
        <w:rPr>
          <w:rFonts w:cstheme="minorHAnsi"/>
        </w:rPr>
        <w:t>the need for a consistent</w:t>
      </w:r>
      <w:r w:rsidR="0021112C" w:rsidRPr="00F57721">
        <w:rPr>
          <w:rFonts w:cstheme="minorHAnsi"/>
        </w:rPr>
        <w:t>ly</w:t>
      </w:r>
      <w:r w:rsidR="00CA3788" w:rsidRPr="00F57721">
        <w:rPr>
          <w:rFonts w:cstheme="minorHAnsi"/>
        </w:rPr>
        <w:t xml:space="preserve"> comparable </w:t>
      </w:r>
      <w:r w:rsidR="006527F9" w:rsidRPr="00F57721">
        <w:rPr>
          <w:rFonts w:cstheme="minorHAnsi"/>
        </w:rPr>
        <w:t xml:space="preserve">global </w:t>
      </w:r>
      <w:r w:rsidR="00CA3788" w:rsidRPr="00F57721">
        <w:rPr>
          <w:rFonts w:cstheme="minorHAnsi"/>
        </w:rPr>
        <w:t>ESG standard</w:t>
      </w:r>
      <w:r w:rsidR="0071097B" w:rsidRPr="00F57721">
        <w:rPr>
          <w:rFonts w:cstheme="minorHAnsi"/>
        </w:rPr>
        <w:t>.</w:t>
      </w:r>
      <w:r w:rsidR="006527F9" w:rsidRPr="00F57721">
        <w:rPr>
          <w:rFonts w:cstheme="minorHAnsi"/>
        </w:rPr>
        <w:t xml:space="preserve"> </w:t>
      </w:r>
      <w:r w:rsidR="0071097B" w:rsidRPr="00F57721">
        <w:rPr>
          <w:rFonts w:cstheme="minorHAnsi"/>
        </w:rPr>
        <w:t>B</w:t>
      </w:r>
      <w:r w:rsidR="00CA3788" w:rsidRPr="00F57721">
        <w:rPr>
          <w:rFonts w:cstheme="minorHAnsi"/>
        </w:rPr>
        <w:t xml:space="preserve">ut that consensus has </w:t>
      </w:r>
      <w:r w:rsidR="00560711" w:rsidRPr="00F57721">
        <w:rPr>
          <w:rFonts w:cstheme="minorHAnsi"/>
        </w:rPr>
        <w:t>not yet</w:t>
      </w:r>
      <w:r w:rsidR="00CA3788" w:rsidRPr="00F57721">
        <w:rPr>
          <w:rFonts w:cstheme="minorHAnsi"/>
        </w:rPr>
        <w:t xml:space="preserve"> </w:t>
      </w:r>
      <w:r w:rsidR="0021112C" w:rsidRPr="00F57721">
        <w:rPr>
          <w:rFonts w:cstheme="minorHAnsi"/>
        </w:rPr>
        <w:t xml:space="preserve">produced </w:t>
      </w:r>
      <w:r w:rsidR="00CA3788" w:rsidRPr="00F57721">
        <w:rPr>
          <w:rFonts w:cstheme="minorHAnsi"/>
        </w:rPr>
        <w:t xml:space="preserve">a </w:t>
      </w:r>
      <w:r w:rsidR="006527F9" w:rsidRPr="00F57721">
        <w:rPr>
          <w:rFonts w:cstheme="minorHAnsi"/>
        </w:rPr>
        <w:t xml:space="preserve">durable, </w:t>
      </w:r>
      <w:r w:rsidR="00CA3788" w:rsidRPr="00F57721">
        <w:rPr>
          <w:rFonts w:cstheme="minorHAnsi"/>
          <w:i/>
          <w:iCs/>
        </w:rPr>
        <w:t xml:space="preserve">universally </w:t>
      </w:r>
      <w:r w:rsidR="006527F9" w:rsidRPr="00F57721">
        <w:rPr>
          <w:rFonts w:cstheme="minorHAnsi"/>
          <w:i/>
          <w:iCs/>
        </w:rPr>
        <w:t>accepted</w:t>
      </w:r>
      <w:r w:rsidRPr="00F57721">
        <w:rPr>
          <w:rFonts w:cstheme="minorHAnsi"/>
        </w:rPr>
        <w:t xml:space="preserve"> formula</w:t>
      </w:r>
      <w:r w:rsidR="00CA3788" w:rsidRPr="00F57721">
        <w:rPr>
          <w:rFonts w:cstheme="minorHAnsi"/>
        </w:rPr>
        <w:t>.</w:t>
      </w:r>
    </w:p>
    <w:p w14:paraId="765EF3C1" w14:textId="77777777" w:rsidR="00F83754" w:rsidRPr="00F57721" w:rsidRDefault="00F8375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442A00B0" w14:textId="67DCA8C1" w:rsidR="0021112C" w:rsidRPr="00F57721" w:rsidRDefault="00705682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For example, a recent article published by </w:t>
      </w:r>
      <w:hyperlink r:id="rId9" w:history="1">
        <w:r w:rsidRPr="00F57721">
          <w:rPr>
            <w:rStyle w:val="Hyperlink"/>
            <w:rFonts w:cstheme="minorHAnsi"/>
          </w:rPr>
          <w:t>ETF Stream</w:t>
        </w:r>
      </w:hyperlink>
      <w:r w:rsidRPr="00F57721">
        <w:rPr>
          <w:rFonts w:cstheme="minorHAnsi"/>
        </w:rPr>
        <w:t xml:space="preserve"> </w:t>
      </w:r>
      <w:r w:rsidR="0021112C" w:rsidRPr="00F57721">
        <w:rPr>
          <w:rFonts w:cstheme="minorHAnsi"/>
        </w:rPr>
        <w:t xml:space="preserve">said </w:t>
      </w:r>
      <w:r w:rsidRPr="00F57721">
        <w:rPr>
          <w:rFonts w:cstheme="minorHAnsi"/>
        </w:rPr>
        <w:t>that the Sustainable Finance Disclosure Regulation (SFDR) of Europe holds sway with European investors “more than any other tool” (28% rely on it)</w:t>
      </w:r>
      <w:r w:rsidR="0021112C" w:rsidRPr="00F57721">
        <w:rPr>
          <w:rFonts w:cstheme="minorHAnsi"/>
        </w:rPr>
        <w:t xml:space="preserve">. However, </w:t>
      </w:r>
      <w:r w:rsidRPr="00F57721">
        <w:rPr>
          <w:rFonts w:cstheme="minorHAnsi"/>
        </w:rPr>
        <w:t>U.S. investors primarily select ESG ETF</w:t>
      </w:r>
      <w:r w:rsidR="00503674" w:rsidRPr="00F57721">
        <w:rPr>
          <w:rFonts w:cstheme="minorHAnsi"/>
        </w:rPr>
        <w:t>s</w:t>
      </w:r>
      <w:r w:rsidRPr="00F57721">
        <w:rPr>
          <w:rFonts w:cstheme="minorHAnsi"/>
        </w:rPr>
        <w:t xml:space="preserve"> </w:t>
      </w:r>
      <w:proofErr w:type="gramStart"/>
      <w:r w:rsidRPr="00F57721">
        <w:rPr>
          <w:rFonts w:cstheme="minorHAnsi"/>
        </w:rPr>
        <w:t>on the basis of</w:t>
      </w:r>
      <w:proofErr w:type="gramEnd"/>
      <w:r w:rsidRPr="00F57721">
        <w:rPr>
          <w:rFonts w:cstheme="minorHAnsi"/>
        </w:rPr>
        <w:t xml:space="preserve"> “brand recognition of the ETF issuer.”</w:t>
      </w:r>
    </w:p>
    <w:p w14:paraId="585280E8" w14:textId="77777777" w:rsidR="00503674" w:rsidRPr="00F57721" w:rsidRDefault="0050367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5846FEC8" w14:textId="125AB886" w:rsidR="00705682" w:rsidRPr="00F57721" w:rsidRDefault="00F8375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Last November, as Investment Executive reported (</w:t>
      </w:r>
      <w:hyperlink r:id="rId10" w:history="1">
        <w:r w:rsidRPr="00F57721">
          <w:rPr>
            <w:rStyle w:val="Hyperlink"/>
            <w:rFonts w:cstheme="minorHAnsi"/>
          </w:rPr>
          <w:t>IOSCO seeks standards for ESG ratings, data</w:t>
        </w:r>
      </w:hyperlink>
      <w:r w:rsidRPr="00F57721">
        <w:rPr>
          <w:rFonts w:cstheme="minorHAnsi"/>
        </w:rPr>
        <w:t>), the International Organization of Securities Commissions (IOSCO) called for “greater oversight of ESG ratings and data providers</w:t>
      </w:r>
      <w:r w:rsidR="00503674" w:rsidRPr="00F57721">
        <w:rPr>
          <w:rFonts w:cstheme="minorHAnsi"/>
        </w:rPr>
        <w:t>.</w:t>
      </w:r>
      <w:r w:rsidRPr="00F57721">
        <w:rPr>
          <w:rFonts w:cstheme="minorHAnsi"/>
        </w:rPr>
        <w:t xml:space="preserve">” </w:t>
      </w:r>
      <w:r w:rsidR="00503674" w:rsidRPr="00F57721">
        <w:rPr>
          <w:rFonts w:cstheme="minorHAnsi"/>
        </w:rPr>
        <w:t xml:space="preserve">IOSCO also </w:t>
      </w:r>
      <w:r w:rsidRPr="00F57721">
        <w:rPr>
          <w:rFonts w:cstheme="minorHAnsi"/>
        </w:rPr>
        <w:t xml:space="preserve">issued “recommendations for regulators to follow in </w:t>
      </w:r>
      <w:r w:rsidRPr="00F57721">
        <w:rPr>
          <w:rFonts w:cstheme="minorHAnsi"/>
        </w:rPr>
        <w:lastRenderedPageBreak/>
        <w:t>establishing requirements for ESG ratings and data, and the firms that provide these products.”</w:t>
      </w:r>
      <w:r w:rsidR="00503674" w:rsidRPr="00F57721">
        <w:rPr>
          <w:rFonts w:cstheme="minorHAnsi"/>
        </w:rPr>
        <w:t xml:space="preserve"> In the same month, </w:t>
      </w:r>
      <w:r w:rsidR="00BE15EB" w:rsidRPr="00F57721">
        <w:rPr>
          <w:rFonts w:cstheme="minorHAnsi"/>
        </w:rPr>
        <w:t>t</w:t>
      </w:r>
      <w:r w:rsidRPr="00F57721">
        <w:rPr>
          <w:rFonts w:cstheme="minorHAnsi"/>
        </w:rPr>
        <w:t xml:space="preserve">he CFA Institute issued its final </w:t>
      </w:r>
      <w:hyperlink r:id="rId11" w:history="1">
        <w:r w:rsidRPr="00F57721">
          <w:rPr>
            <w:rStyle w:val="Hyperlink"/>
            <w:rFonts w:cstheme="minorHAnsi"/>
          </w:rPr>
          <w:t>Global ESG Disclosure Standards for Investment Products</w:t>
        </w:r>
      </w:hyperlink>
      <w:r w:rsidRPr="00F57721">
        <w:rPr>
          <w:rFonts w:cstheme="minorHAnsi"/>
        </w:rPr>
        <w:t xml:space="preserve">, “the first global voluntary standards for disclosing how an investment product considers ESG issues in its objectives, investment strategy, and stewardship activities.” </w:t>
      </w:r>
      <w:r w:rsidR="0021112C" w:rsidRPr="00F57721">
        <w:rPr>
          <w:rFonts w:cstheme="minorHAnsi"/>
        </w:rPr>
        <w:t xml:space="preserve">The CFA </w:t>
      </w:r>
      <w:r w:rsidR="00D51D36" w:rsidRPr="00F57721">
        <w:rPr>
          <w:rFonts w:cstheme="minorHAnsi"/>
        </w:rPr>
        <w:t>declare</w:t>
      </w:r>
      <w:r w:rsidR="00503674" w:rsidRPr="00F57721">
        <w:rPr>
          <w:rFonts w:cstheme="minorHAnsi"/>
        </w:rPr>
        <w:t>d</w:t>
      </w:r>
      <w:r w:rsidR="00D51D36" w:rsidRPr="00F57721">
        <w:rPr>
          <w:rFonts w:cstheme="minorHAnsi"/>
        </w:rPr>
        <w:t xml:space="preserve"> it will </w:t>
      </w:r>
      <w:r w:rsidR="0021112C" w:rsidRPr="00F57721">
        <w:rPr>
          <w:rFonts w:cstheme="minorHAnsi"/>
        </w:rPr>
        <w:t xml:space="preserve">follow up with additional resources to provide explanation, interpretive </w:t>
      </w:r>
      <w:proofErr w:type="gramStart"/>
      <w:r w:rsidR="0021112C" w:rsidRPr="00F57721">
        <w:rPr>
          <w:rFonts w:cstheme="minorHAnsi"/>
        </w:rPr>
        <w:t>guidance</w:t>
      </w:r>
      <w:proofErr w:type="gramEnd"/>
      <w:r w:rsidR="0021112C" w:rsidRPr="00F57721">
        <w:rPr>
          <w:rFonts w:cstheme="minorHAnsi"/>
        </w:rPr>
        <w:t xml:space="preserve"> and procedures to enable independent assurance by the beginning of May.</w:t>
      </w:r>
    </w:p>
    <w:p w14:paraId="5E86F991" w14:textId="7B211E91" w:rsidR="00A44180" w:rsidRPr="00F57721" w:rsidRDefault="00A4418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1F91B4DE" w14:textId="37CC1A61" w:rsidR="00A44180" w:rsidRPr="00F57721" w:rsidRDefault="0050367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A</w:t>
      </w:r>
      <w:r w:rsidR="00A44180" w:rsidRPr="00F57721">
        <w:rPr>
          <w:rFonts w:cstheme="minorHAnsi"/>
        </w:rPr>
        <w:t xml:space="preserve">dding further momentum to the search for a </w:t>
      </w:r>
      <w:r w:rsidR="00912EBF" w:rsidRPr="00F57721">
        <w:rPr>
          <w:rFonts w:cstheme="minorHAnsi"/>
        </w:rPr>
        <w:t xml:space="preserve">convincing </w:t>
      </w:r>
      <w:r w:rsidR="00A44180" w:rsidRPr="00F57721">
        <w:rPr>
          <w:rFonts w:cstheme="minorHAnsi"/>
        </w:rPr>
        <w:t xml:space="preserve">solution, </w:t>
      </w:r>
      <w:r w:rsidRPr="00F57721">
        <w:rPr>
          <w:rFonts w:cstheme="minorHAnsi"/>
        </w:rPr>
        <w:t xml:space="preserve">in January </w:t>
      </w:r>
      <w:r w:rsidR="00A44180" w:rsidRPr="00F57721">
        <w:rPr>
          <w:rFonts w:cstheme="minorHAnsi"/>
        </w:rPr>
        <w:t xml:space="preserve">the Canadian Securities Administrators (CSA) </w:t>
      </w:r>
      <w:hyperlink r:id="rId12" w:history="1">
        <w:r w:rsidR="00A44180" w:rsidRPr="00F57721">
          <w:rPr>
            <w:rStyle w:val="Hyperlink"/>
            <w:rFonts w:cstheme="minorHAnsi"/>
          </w:rPr>
          <w:t>published guidance on ESG-related investment fund disclosure</w:t>
        </w:r>
      </w:hyperlink>
      <w:r w:rsidR="00A44180" w:rsidRPr="00F57721">
        <w:rPr>
          <w:rFonts w:cstheme="minorHAnsi"/>
        </w:rPr>
        <w:t>. The CSA guidance is based on existing regulatory requirements and broadly affect</w:t>
      </w:r>
      <w:r w:rsidR="00912EBF" w:rsidRPr="00F57721">
        <w:rPr>
          <w:rFonts w:cstheme="minorHAnsi"/>
        </w:rPr>
        <w:t>s</w:t>
      </w:r>
      <w:r w:rsidR="00A44180" w:rsidRPr="00F57721">
        <w:rPr>
          <w:rFonts w:cstheme="minorHAnsi"/>
        </w:rPr>
        <w:t xml:space="preserve"> disclosure, </w:t>
      </w:r>
      <w:proofErr w:type="gramStart"/>
      <w:r w:rsidR="00A44180" w:rsidRPr="00F57721">
        <w:rPr>
          <w:rFonts w:cstheme="minorHAnsi"/>
        </w:rPr>
        <w:t>marketing</w:t>
      </w:r>
      <w:proofErr w:type="gramEnd"/>
      <w:r w:rsidR="00A44180" w:rsidRPr="00F57721">
        <w:rPr>
          <w:rFonts w:cstheme="minorHAnsi"/>
        </w:rPr>
        <w:t xml:space="preserve"> and sales practices to help “investors make informed decisions about ESG products, as well as preventing potential greenwashing,” The CSA also declared it will continue to monitor ESG-related disclosure of funds. Its guidance brings Canadian </w:t>
      </w:r>
      <w:r w:rsidRPr="00F57721">
        <w:rPr>
          <w:rFonts w:cstheme="minorHAnsi"/>
        </w:rPr>
        <w:t xml:space="preserve">ESG regulations </w:t>
      </w:r>
      <w:r w:rsidR="00A44180" w:rsidRPr="00F57721">
        <w:rPr>
          <w:rFonts w:cstheme="minorHAnsi"/>
        </w:rPr>
        <w:t>into alignment with other international investment regulatory and governance bodies, namely the U.S. SEC a</w:t>
      </w:r>
      <w:r w:rsidR="000948CD" w:rsidRPr="00F57721">
        <w:rPr>
          <w:rFonts w:cstheme="minorHAnsi"/>
        </w:rPr>
        <w:t>s well as</w:t>
      </w:r>
      <w:r w:rsidR="00A44180" w:rsidRPr="00F57721">
        <w:rPr>
          <w:rFonts w:cstheme="minorHAnsi"/>
        </w:rPr>
        <w:t xml:space="preserve"> the European Union, </w:t>
      </w:r>
      <w:r w:rsidR="000948CD" w:rsidRPr="00F57721">
        <w:rPr>
          <w:rFonts w:cstheme="minorHAnsi"/>
        </w:rPr>
        <w:t xml:space="preserve">which is </w:t>
      </w:r>
      <w:r w:rsidR="00A44180" w:rsidRPr="00F57721">
        <w:rPr>
          <w:rFonts w:cstheme="minorHAnsi"/>
        </w:rPr>
        <w:t>widely regarded as the leader in sustainable investing.</w:t>
      </w:r>
    </w:p>
    <w:p w14:paraId="1295F55C" w14:textId="7DDF83A4" w:rsidR="00705682" w:rsidRPr="00F57721" w:rsidRDefault="00705682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1F625D38" w14:textId="5B11A7A6" w:rsidR="00BE15EB" w:rsidRPr="00F57721" w:rsidRDefault="000948CD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b/>
          <w:bCs/>
        </w:rPr>
      </w:pPr>
      <w:r w:rsidRPr="00F57721">
        <w:rPr>
          <w:rFonts w:cstheme="minorHAnsi"/>
          <w:b/>
          <w:bCs/>
        </w:rPr>
        <w:t>Some critical observers have proposed unbundling the formula to fix it</w:t>
      </w:r>
    </w:p>
    <w:p w14:paraId="02CA210B" w14:textId="77777777" w:rsidR="00BE15EB" w:rsidRPr="00F57721" w:rsidRDefault="00BE15EB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158174E6" w14:textId="47676045" w:rsidR="00223899" w:rsidRPr="00F57721" w:rsidRDefault="0021112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Ironically, efforts to consolidate and refine </w:t>
      </w:r>
      <w:r w:rsidR="00BE15EB" w:rsidRPr="00F57721">
        <w:rPr>
          <w:rFonts w:cstheme="minorHAnsi"/>
        </w:rPr>
        <w:t>a</w:t>
      </w:r>
      <w:r w:rsidR="00503674" w:rsidRPr="00F57721">
        <w:rPr>
          <w:rFonts w:cstheme="minorHAnsi"/>
        </w:rPr>
        <w:t xml:space="preserve"> shared and trusted </w:t>
      </w:r>
      <w:r w:rsidRPr="00F57721">
        <w:rPr>
          <w:rFonts w:cstheme="minorHAnsi"/>
        </w:rPr>
        <w:t xml:space="preserve">ESG standard </w:t>
      </w:r>
      <w:r w:rsidR="00F83754" w:rsidRPr="00F57721">
        <w:rPr>
          <w:rFonts w:cstheme="minorHAnsi"/>
        </w:rPr>
        <w:t xml:space="preserve">are occurring as the </w:t>
      </w:r>
      <w:r w:rsidR="0071097B" w:rsidRPr="00F57721">
        <w:rPr>
          <w:rFonts w:cstheme="minorHAnsi"/>
        </w:rPr>
        <w:t xml:space="preserve">public </w:t>
      </w:r>
      <w:r w:rsidR="00C1572A" w:rsidRPr="00F57721">
        <w:rPr>
          <w:rFonts w:cstheme="minorHAnsi"/>
        </w:rPr>
        <w:t xml:space="preserve">conversation </w:t>
      </w:r>
      <w:r w:rsidR="0071097B" w:rsidRPr="00F57721">
        <w:rPr>
          <w:rFonts w:cstheme="minorHAnsi"/>
        </w:rPr>
        <w:t xml:space="preserve">about </w:t>
      </w:r>
      <w:r w:rsidR="00C1572A" w:rsidRPr="00F57721">
        <w:rPr>
          <w:rFonts w:cstheme="minorHAnsi"/>
        </w:rPr>
        <w:t>ESG</w:t>
      </w:r>
      <w:r w:rsidR="00C44CC9" w:rsidRPr="00F57721">
        <w:rPr>
          <w:rFonts w:cstheme="minorHAnsi"/>
        </w:rPr>
        <w:t xml:space="preserve"> “deficiencies”</w:t>
      </w:r>
      <w:r w:rsidR="00705682" w:rsidRPr="00F57721">
        <w:rPr>
          <w:rFonts w:cstheme="minorHAnsi"/>
        </w:rPr>
        <w:t xml:space="preserve"> </w:t>
      </w:r>
      <w:r w:rsidR="00F83754" w:rsidRPr="00F57721">
        <w:rPr>
          <w:rFonts w:cstheme="minorHAnsi"/>
        </w:rPr>
        <w:t xml:space="preserve">considers </w:t>
      </w:r>
      <w:r w:rsidR="00A44180" w:rsidRPr="00F57721">
        <w:rPr>
          <w:rFonts w:cstheme="minorHAnsi"/>
        </w:rPr>
        <w:t xml:space="preserve">the merits of </w:t>
      </w:r>
      <w:r w:rsidR="00C1572A" w:rsidRPr="00F57721">
        <w:rPr>
          <w:rFonts w:cstheme="minorHAnsi"/>
        </w:rPr>
        <w:t>unpack</w:t>
      </w:r>
      <w:r w:rsidR="00560711" w:rsidRPr="00F57721">
        <w:rPr>
          <w:rFonts w:cstheme="minorHAnsi"/>
        </w:rPr>
        <w:t>ing</w:t>
      </w:r>
      <w:r w:rsidR="00C1572A" w:rsidRPr="00F57721">
        <w:rPr>
          <w:rFonts w:cstheme="minorHAnsi"/>
        </w:rPr>
        <w:t xml:space="preserve"> </w:t>
      </w:r>
      <w:r w:rsidR="00560711" w:rsidRPr="00F57721">
        <w:rPr>
          <w:rFonts w:cstheme="minorHAnsi"/>
        </w:rPr>
        <w:t xml:space="preserve">its </w:t>
      </w:r>
      <w:r w:rsidR="00C1572A" w:rsidRPr="00F57721">
        <w:rPr>
          <w:rFonts w:cstheme="minorHAnsi"/>
        </w:rPr>
        <w:t xml:space="preserve">three </w:t>
      </w:r>
      <w:r w:rsidR="00560711" w:rsidRPr="00F57721">
        <w:rPr>
          <w:rFonts w:cstheme="minorHAnsi"/>
        </w:rPr>
        <w:t xml:space="preserve">distinct components. </w:t>
      </w:r>
      <w:r w:rsidR="00A44180" w:rsidRPr="00F57721">
        <w:rPr>
          <w:rFonts w:cstheme="minorHAnsi"/>
        </w:rPr>
        <w:t>S</w:t>
      </w:r>
      <w:r w:rsidR="00F83754" w:rsidRPr="00F57721">
        <w:rPr>
          <w:rFonts w:cstheme="minorHAnsi"/>
        </w:rPr>
        <w:t>ome</w:t>
      </w:r>
      <w:r w:rsidR="00A44180" w:rsidRPr="00F57721">
        <w:rPr>
          <w:rFonts w:cstheme="minorHAnsi"/>
        </w:rPr>
        <w:t xml:space="preserve"> commentators</w:t>
      </w:r>
      <w:r w:rsidR="00F83754" w:rsidRPr="00F57721">
        <w:rPr>
          <w:rFonts w:cstheme="minorHAnsi"/>
        </w:rPr>
        <w:t xml:space="preserve"> have asked: S</w:t>
      </w:r>
      <w:r w:rsidR="00560711" w:rsidRPr="00F57721">
        <w:rPr>
          <w:rFonts w:cstheme="minorHAnsi"/>
        </w:rPr>
        <w:t xml:space="preserve">hould they be lumped together in a single rating when each element </w:t>
      </w:r>
      <w:r w:rsidR="00BE15EB" w:rsidRPr="00F57721">
        <w:rPr>
          <w:rFonts w:cstheme="minorHAnsi"/>
        </w:rPr>
        <w:t>capture</w:t>
      </w:r>
      <w:r w:rsidR="00560711" w:rsidRPr="00F57721">
        <w:rPr>
          <w:rFonts w:cstheme="minorHAnsi"/>
        </w:rPr>
        <w:t>s its own unique concern</w:t>
      </w:r>
      <w:r w:rsidR="00F83754" w:rsidRPr="00F57721">
        <w:rPr>
          <w:rFonts w:cstheme="minorHAnsi"/>
        </w:rPr>
        <w:t>?</w:t>
      </w:r>
      <w:r w:rsidR="00705682" w:rsidRPr="00F57721">
        <w:rPr>
          <w:rFonts w:cstheme="minorHAnsi"/>
        </w:rPr>
        <w:t xml:space="preserve"> (</w:t>
      </w:r>
      <w:r w:rsidR="00BE15EB" w:rsidRPr="00F57721">
        <w:rPr>
          <w:rFonts w:cstheme="minorHAnsi"/>
        </w:rPr>
        <w:t>At the time of writing, t</w:t>
      </w:r>
      <w:r w:rsidR="00705682" w:rsidRPr="00F57721">
        <w:rPr>
          <w:rFonts w:cstheme="minorHAnsi"/>
        </w:rPr>
        <w:t xml:space="preserve">he </w:t>
      </w:r>
      <w:hyperlink r:id="rId13" w:history="1">
        <w:r w:rsidR="00705682" w:rsidRPr="00F57721">
          <w:rPr>
            <w:rStyle w:val="Hyperlink"/>
            <w:rFonts w:cstheme="minorHAnsi"/>
          </w:rPr>
          <w:t>Financial Times Moral Money</w:t>
        </w:r>
      </w:hyperlink>
      <w:r w:rsidR="00705682" w:rsidRPr="00F57721">
        <w:rPr>
          <w:rFonts w:cstheme="minorHAnsi"/>
        </w:rPr>
        <w:t xml:space="preserve"> microsite f</w:t>
      </w:r>
      <w:r w:rsidR="00BE15EB" w:rsidRPr="00F57721">
        <w:rPr>
          <w:rFonts w:cstheme="minorHAnsi"/>
        </w:rPr>
        <w:t>eatures a</w:t>
      </w:r>
      <w:r w:rsidR="00705682" w:rsidRPr="00F57721">
        <w:rPr>
          <w:rFonts w:cstheme="minorHAnsi"/>
        </w:rPr>
        <w:t xml:space="preserve"> </w:t>
      </w:r>
      <w:r w:rsidR="00BE15EB" w:rsidRPr="00F57721">
        <w:rPr>
          <w:rFonts w:cstheme="minorHAnsi"/>
        </w:rPr>
        <w:t>thoughtful</w:t>
      </w:r>
      <w:r w:rsidR="00705682" w:rsidRPr="00F57721">
        <w:rPr>
          <w:rFonts w:cstheme="minorHAnsi"/>
        </w:rPr>
        <w:t xml:space="preserve"> examination of </w:t>
      </w:r>
      <w:r w:rsidR="00BE15EB" w:rsidRPr="00F57721">
        <w:rPr>
          <w:rFonts w:cstheme="minorHAnsi"/>
        </w:rPr>
        <w:t xml:space="preserve">this and other </w:t>
      </w:r>
      <w:r w:rsidR="00705682" w:rsidRPr="00F57721">
        <w:rPr>
          <w:rFonts w:cstheme="minorHAnsi"/>
        </w:rPr>
        <w:t>ESG-related issues)</w:t>
      </w:r>
      <w:r w:rsidR="0071097B" w:rsidRPr="00F57721">
        <w:rPr>
          <w:rFonts w:cstheme="minorHAnsi"/>
        </w:rPr>
        <w:t>.</w:t>
      </w:r>
      <w:r w:rsidR="00705682" w:rsidRPr="00F57721">
        <w:rPr>
          <w:rFonts w:cstheme="minorHAnsi"/>
        </w:rPr>
        <w:t xml:space="preserve"> </w:t>
      </w:r>
    </w:p>
    <w:p w14:paraId="14369595" w14:textId="0D154336" w:rsidR="00D30634" w:rsidRPr="00F57721" w:rsidRDefault="00D3063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002893AE" w14:textId="58DAB77F" w:rsidR="0021112C" w:rsidRPr="00F57721" w:rsidRDefault="00912EBF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To play devil’s advocate, </w:t>
      </w:r>
      <w:r w:rsidR="00560711" w:rsidRPr="00F57721">
        <w:rPr>
          <w:rFonts w:cstheme="minorHAnsi"/>
        </w:rPr>
        <w:t>it</w:t>
      </w:r>
      <w:r w:rsidR="00A44180" w:rsidRPr="00F57721">
        <w:rPr>
          <w:rFonts w:cstheme="minorHAnsi"/>
        </w:rPr>
        <w:t xml:space="preserve"> can be argued</w:t>
      </w:r>
      <w:r w:rsidR="005F5A1D" w:rsidRPr="00F57721">
        <w:rPr>
          <w:rFonts w:cstheme="minorHAnsi"/>
        </w:rPr>
        <w:t xml:space="preserve"> that </w:t>
      </w:r>
      <w:r w:rsidR="00560711" w:rsidRPr="00F57721">
        <w:rPr>
          <w:rFonts w:cstheme="minorHAnsi"/>
        </w:rPr>
        <w:t xml:space="preserve">governance (“G”) is </w:t>
      </w:r>
      <w:proofErr w:type="gramStart"/>
      <w:r w:rsidR="00560711" w:rsidRPr="00F57721">
        <w:rPr>
          <w:rFonts w:cstheme="minorHAnsi"/>
        </w:rPr>
        <w:t>really just</w:t>
      </w:r>
      <w:proofErr w:type="gramEnd"/>
      <w:r w:rsidR="00560711" w:rsidRPr="00F57721">
        <w:rPr>
          <w:rFonts w:cstheme="minorHAnsi"/>
        </w:rPr>
        <w:t xml:space="preserve"> table stakes: </w:t>
      </w:r>
      <w:r w:rsidR="00560711" w:rsidRPr="00F57721">
        <w:rPr>
          <w:rFonts w:cstheme="minorHAnsi"/>
          <w:i/>
          <w:iCs/>
        </w:rPr>
        <w:t>All</w:t>
      </w:r>
      <w:r w:rsidR="00560711" w:rsidRPr="00F57721">
        <w:rPr>
          <w:rFonts w:cstheme="minorHAnsi"/>
        </w:rPr>
        <w:t xml:space="preserve"> investment-worthy companies</w:t>
      </w:r>
      <w:r w:rsidR="00BE15EB" w:rsidRPr="00F57721">
        <w:rPr>
          <w:rFonts w:cstheme="minorHAnsi"/>
        </w:rPr>
        <w:t xml:space="preserve"> </w:t>
      </w:r>
      <w:r w:rsidR="00A44180" w:rsidRPr="00F57721">
        <w:rPr>
          <w:rFonts w:cstheme="minorHAnsi"/>
        </w:rPr>
        <w:t xml:space="preserve">require </w:t>
      </w:r>
      <w:r w:rsidR="00560711" w:rsidRPr="00F57721">
        <w:rPr>
          <w:rFonts w:cstheme="minorHAnsi"/>
        </w:rPr>
        <w:t>good governance. The social (“S”) dimension is extremely complex</w:t>
      </w:r>
      <w:r w:rsidR="00BE15EB" w:rsidRPr="00F57721">
        <w:rPr>
          <w:rFonts w:cstheme="minorHAnsi"/>
        </w:rPr>
        <w:t>, especially</w:t>
      </w:r>
      <w:r w:rsidR="0071097B" w:rsidRPr="00F57721">
        <w:rPr>
          <w:rFonts w:cstheme="minorHAnsi"/>
        </w:rPr>
        <w:t xml:space="preserve"> in an international context</w:t>
      </w:r>
      <w:r w:rsidR="00BE15EB" w:rsidRPr="00F57721">
        <w:rPr>
          <w:rFonts w:cstheme="minorHAnsi"/>
        </w:rPr>
        <w:t>,</w:t>
      </w:r>
      <w:r w:rsidR="0071097B" w:rsidRPr="00F57721">
        <w:rPr>
          <w:rFonts w:cstheme="minorHAnsi"/>
        </w:rPr>
        <w:t xml:space="preserve"> and</w:t>
      </w:r>
      <w:r w:rsidR="00560711" w:rsidRPr="00F57721">
        <w:rPr>
          <w:rFonts w:cstheme="minorHAnsi"/>
        </w:rPr>
        <w:t xml:space="preserve"> </w:t>
      </w:r>
      <w:r w:rsidR="005F5A1D" w:rsidRPr="00F57721">
        <w:rPr>
          <w:rFonts w:cstheme="minorHAnsi"/>
        </w:rPr>
        <w:t xml:space="preserve">is influenced </w:t>
      </w:r>
      <w:r w:rsidR="00223899" w:rsidRPr="00F57721">
        <w:rPr>
          <w:rFonts w:cstheme="minorHAnsi"/>
        </w:rPr>
        <w:t xml:space="preserve">by </w:t>
      </w:r>
      <w:r w:rsidR="00560711" w:rsidRPr="00F57721">
        <w:rPr>
          <w:rFonts w:cstheme="minorHAnsi"/>
        </w:rPr>
        <w:t>the other two</w:t>
      </w:r>
      <w:r w:rsidR="0071097B" w:rsidRPr="00F57721">
        <w:rPr>
          <w:rFonts w:cstheme="minorHAnsi"/>
        </w:rPr>
        <w:t xml:space="preserve"> metrics</w:t>
      </w:r>
      <w:r w:rsidR="00560711" w:rsidRPr="00F57721">
        <w:rPr>
          <w:rFonts w:cstheme="minorHAnsi"/>
        </w:rPr>
        <w:t xml:space="preserve">. </w:t>
      </w:r>
      <w:r w:rsidR="00BE15EB" w:rsidRPr="00F57721">
        <w:rPr>
          <w:rFonts w:cstheme="minorHAnsi"/>
        </w:rPr>
        <w:t>Meanwhile, t</w:t>
      </w:r>
      <w:r w:rsidR="00560711" w:rsidRPr="00F57721">
        <w:rPr>
          <w:rFonts w:cstheme="minorHAnsi"/>
        </w:rPr>
        <w:t>he environmental (“E”)</w:t>
      </w:r>
      <w:r w:rsidR="00223899" w:rsidRPr="00F57721">
        <w:rPr>
          <w:rFonts w:cstheme="minorHAnsi"/>
        </w:rPr>
        <w:t xml:space="preserve"> aspect has been the true draw for</w:t>
      </w:r>
      <w:r w:rsidR="00560711" w:rsidRPr="00F57721">
        <w:rPr>
          <w:rFonts w:cstheme="minorHAnsi"/>
        </w:rPr>
        <w:t xml:space="preserve"> investors</w:t>
      </w:r>
      <w:r w:rsidR="005F5A1D" w:rsidRPr="00F57721">
        <w:rPr>
          <w:rFonts w:cstheme="minorHAnsi"/>
        </w:rPr>
        <w:t xml:space="preserve"> (an understanding of investor motivation that Mark Noble, executive VP, ETF strategy with Horizons ETFs presented in response to the CETFA’s request for member insights)</w:t>
      </w:r>
      <w:r w:rsidR="00223899" w:rsidRPr="00F57721">
        <w:rPr>
          <w:rFonts w:cstheme="minorHAnsi"/>
        </w:rPr>
        <w:t>. H</w:t>
      </w:r>
      <w:r w:rsidR="00560711" w:rsidRPr="00F57721">
        <w:rPr>
          <w:rFonts w:cstheme="minorHAnsi"/>
        </w:rPr>
        <w:t xml:space="preserve">owever, </w:t>
      </w:r>
      <w:r w:rsidR="00705682" w:rsidRPr="00F57721">
        <w:rPr>
          <w:rFonts w:cstheme="minorHAnsi"/>
        </w:rPr>
        <w:t xml:space="preserve">judgments and </w:t>
      </w:r>
      <w:r w:rsidR="00223899" w:rsidRPr="00F57721">
        <w:rPr>
          <w:rFonts w:cstheme="minorHAnsi"/>
        </w:rPr>
        <w:t xml:space="preserve">rankings </w:t>
      </w:r>
      <w:r w:rsidR="00560711" w:rsidRPr="00F57721">
        <w:rPr>
          <w:rFonts w:cstheme="minorHAnsi"/>
        </w:rPr>
        <w:t xml:space="preserve">vary </w:t>
      </w:r>
      <w:r w:rsidR="00223899" w:rsidRPr="00F57721">
        <w:rPr>
          <w:rFonts w:cstheme="minorHAnsi"/>
        </w:rPr>
        <w:t xml:space="preserve">widely </w:t>
      </w:r>
      <w:r w:rsidR="00705682" w:rsidRPr="00F57721">
        <w:rPr>
          <w:rFonts w:cstheme="minorHAnsi"/>
        </w:rPr>
        <w:t xml:space="preserve">about </w:t>
      </w:r>
      <w:r w:rsidR="00560711" w:rsidRPr="00F57721">
        <w:rPr>
          <w:rFonts w:cstheme="minorHAnsi"/>
        </w:rPr>
        <w:t>good versus bad environmental</w:t>
      </w:r>
      <w:r w:rsidR="0071097B" w:rsidRPr="00F57721">
        <w:rPr>
          <w:rFonts w:cstheme="minorHAnsi"/>
        </w:rPr>
        <w:t xml:space="preserve"> behaviour</w:t>
      </w:r>
      <w:r w:rsidR="00705682" w:rsidRPr="00F57721">
        <w:rPr>
          <w:rFonts w:cstheme="minorHAnsi"/>
        </w:rPr>
        <w:t xml:space="preserve">, </w:t>
      </w:r>
      <w:r w:rsidR="00223899" w:rsidRPr="00F57721">
        <w:rPr>
          <w:rFonts w:cstheme="minorHAnsi"/>
        </w:rPr>
        <w:t xml:space="preserve">which </w:t>
      </w:r>
      <w:r w:rsidR="0071097B" w:rsidRPr="00F57721">
        <w:rPr>
          <w:rFonts w:cstheme="minorHAnsi"/>
        </w:rPr>
        <w:t xml:space="preserve">companies </w:t>
      </w:r>
      <w:r w:rsidR="00223899" w:rsidRPr="00F57721">
        <w:rPr>
          <w:rFonts w:cstheme="minorHAnsi"/>
        </w:rPr>
        <w:t>should be included</w:t>
      </w:r>
      <w:r w:rsidR="0071097B" w:rsidRPr="00F57721">
        <w:rPr>
          <w:rFonts w:cstheme="minorHAnsi"/>
        </w:rPr>
        <w:t>/</w:t>
      </w:r>
      <w:r w:rsidR="00223899" w:rsidRPr="00F57721">
        <w:rPr>
          <w:rFonts w:cstheme="minorHAnsi"/>
        </w:rPr>
        <w:t>excluded</w:t>
      </w:r>
      <w:r w:rsidR="00705682" w:rsidRPr="00F57721">
        <w:rPr>
          <w:rFonts w:cstheme="minorHAnsi"/>
        </w:rPr>
        <w:t>,</w:t>
      </w:r>
      <w:r w:rsidR="0071097B" w:rsidRPr="00F57721">
        <w:rPr>
          <w:rFonts w:cstheme="minorHAnsi"/>
        </w:rPr>
        <w:t xml:space="preserve"> and how to </w:t>
      </w:r>
      <w:r w:rsidR="00BE15EB" w:rsidRPr="00F57721">
        <w:rPr>
          <w:rFonts w:cstheme="minorHAnsi"/>
        </w:rPr>
        <w:t>fairly</w:t>
      </w:r>
      <w:r w:rsidR="005F5A1D" w:rsidRPr="00F57721">
        <w:rPr>
          <w:rFonts w:cstheme="minorHAnsi"/>
        </w:rPr>
        <w:t xml:space="preserve"> determine</w:t>
      </w:r>
      <w:r w:rsidR="00C44CC9" w:rsidRPr="00F57721">
        <w:rPr>
          <w:rFonts w:cstheme="minorHAnsi"/>
        </w:rPr>
        <w:t xml:space="preserve"> </w:t>
      </w:r>
      <w:r w:rsidR="0071097B" w:rsidRPr="00F57721">
        <w:rPr>
          <w:rFonts w:cstheme="minorHAnsi"/>
        </w:rPr>
        <w:t>their “green” status</w:t>
      </w:r>
      <w:r w:rsidR="00223899" w:rsidRPr="00F57721">
        <w:rPr>
          <w:rFonts w:cstheme="minorHAnsi"/>
        </w:rPr>
        <w:t>.</w:t>
      </w:r>
    </w:p>
    <w:p w14:paraId="4BC7AB67" w14:textId="460761F7" w:rsidR="00341CF6" w:rsidRPr="00F57721" w:rsidRDefault="00341CF6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50BDA8F7" w14:textId="7FECB2E5" w:rsidR="005F6F71" w:rsidRPr="00F57721" w:rsidRDefault="00A4418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b/>
          <w:bCs/>
        </w:rPr>
      </w:pPr>
      <w:r w:rsidRPr="00F57721">
        <w:rPr>
          <w:rFonts w:cstheme="minorHAnsi"/>
          <w:b/>
          <w:bCs/>
        </w:rPr>
        <w:t xml:space="preserve">Separating out </w:t>
      </w:r>
      <w:r w:rsidR="00341CF6" w:rsidRPr="00F57721">
        <w:rPr>
          <w:rFonts w:cstheme="minorHAnsi"/>
          <w:b/>
          <w:bCs/>
        </w:rPr>
        <w:t xml:space="preserve">ESG </w:t>
      </w:r>
      <w:r w:rsidRPr="00F57721">
        <w:rPr>
          <w:rFonts w:cstheme="minorHAnsi"/>
          <w:b/>
          <w:bCs/>
        </w:rPr>
        <w:t>rating</w:t>
      </w:r>
      <w:r w:rsidR="007366E5" w:rsidRPr="00F57721">
        <w:rPr>
          <w:rFonts w:cstheme="minorHAnsi"/>
          <w:b/>
          <w:bCs/>
        </w:rPr>
        <w:t xml:space="preserve"> </w:t>
      </w:r>
      <w:r w:rsidR="00590990" w:rsidRPr="00F57721">
        <w:rPr>
          <w:rFonts w:cstheme="minorHAnsi"/>
          <w:b/>
          <w:bCs/>
        </w:rPr>
        <w:t xml:space="preserve">components </w:t>
      </w:r>
      <w:r w:rsidR="007366E5" w:rsidRPr="00F57721">
        <w:rPr>
          <w:rFonts w:cstheme="minorHAnsi"/>
          <w:b/>
          <w:bCs/>
        </w:rPr>
        <w:t xml:space="preserve">will </w:t>
      </w:r>
      <w:r w:rsidR="007366E5" w:rsidRPr="00F57721">
        <w:rPr>
          <w:rFonts w:cstheme="minorHAnsi"/>
          <w:b/>
          <w:bCs/>
          <w:i/>
          <w:iCs/>
        </w:rPr>
        <w:t>not</w:t>
      </w:r>
      <w:r w:rsidR="007366E5" w:rsidRPr="00F57721">
        <w:rPr>
          <w:rFonts w:cstheme="minorHAnsi"/>
          <w:b/>
          <w:bCs/>
        </w:rPr>
        <w:t xml:space="preserve"> be readily embraced as</w:t>
      </w:r>
      <w:r w:rsidRPr="00F57721">
        <w:rPr>
          <w:rFonts w:cstheme="minorHAnsi"/>
          <w:b/>
          <w:bCs/>
        </w:rPr>
        <w:t xml:space="preserve"> a</w:t>
      </w:r>
      <w:r w:rsidR="00590990" w:rsidRPr="00F57721">
        <w:rPr>
          <w:rFonts w:cstheme="minorHAnsi"/>
          <w:b/>
          <w:bCs/>
        </w:rPr>
        <w:t>n effective alternative</w:t>
      </w:r>
    </w:p>
    <w:p w14:paraId="236995F3" w14:textId="77777777" w:rsidR="005F6F71" w:rsidRPr="00F57721" w:rsidRDefault="005F6F71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15B29528" w14:textId="52214D86" w:rsidR="005F6F71" w:rsidRPr="00F57721" w:rsidRDefault="00912EBF" w:rsidP="00F57721">
      <w:pPr>
        <w:pStyle w:val="Footer"/>
        <w:tabs>
          <w:tab w:val="clear" w:pos="4680"/>
          <w:tab w:val="clear" w:pos="9360"/>
        </w:tabs>
        <w:ind w:left="284"/>
        <w:rPr>
          <w:rFonts w:eastAsia="Times New Roman" w:cstheme="minorHAnsi"/>
        </w:rPr>
      </w:pPr>
      <w:r w:rsidRPr="00F57721">
        <w:rPr>
          <w:rFonts w:cstheme="minorHAnsi"/>
        </w:rPr>
        <w:t xml:space="preserve">Focusing on only one aspect of ESG “profoundly misunderstands the concepts of ESG and responsible investing,” </w:t>
      </w:r>
      <w:proofErr w:type="spellStart"/>
      <w:r w:rsidR="00341CF6" w:rsidRPr="00F57721">
        <w:rPr>
          <w:rFonts w:cstheme="minorHAnsi"/>
        </w:rPr>
        <w:t>Dustyn</w:t>
      </w:r>
      <w:proofErr w:type="spellEnd"/>
      <w:r w:rsidR="00341CF6" w:rsidRPr="00F57721">
        <w:rPr>
          <w:rFonts w:cstheme="minorHAnsi"/>
        </w:rPr>
        <w:t xml:space="preserve"> </w:t>
      </w:r>
      <w:proofErr w:type="spellStart"/>
      <w:r w:rsidR="00341CF6" w:rsidRPr="00F57721">
        <w:rPr>
          <w:rFonts w:cstheme="minorHAnsi"/>
        </w:rPr>
        <w:t>Lanz</w:t>
      </w:r>
      <w:proofErr w:type="spellEnd"/>
      <w:r w:rsidR="00341CF6" w:rsidRPr="00F57721">
        <w:rPr>
          <w:rFonts w:cstheme="minorHAnsi"/>
        </w:rPr>
        <w:t>, a senior advisor with ESG Global Advisors,</w:t>
      </w:r>
      <w:r w:rsidR="00590990" w:rsidRPr="00F57721">
        <w:rPr>
          <w:rFonts w:cstheme="minorHAnsi"/>
        </w:rPr>
        <w:t xml:space="preserve"> told the CETFA</w:t>
      </w:r>
      <w:r w:rsidRPr="00F57721">
        <w:rPr>
          <w:rFonts w:cstheme="minorHAnsi"/>
        </w:rPr>
        <w:t xml:space="preserve">. </w:t>
      </w:r>
      <w:r w:rsidR="00341CF6" w:rsidRPr="00F57721">
        <w:rPr>
          <w:rFonts w:cstheme="minorHAnsi"/>
        </w:rPr>
        <w:t>ESG integration, he</w:t>
      </w:r>
      <w:r w:rsidR="00A44180" w:rsidRPr="00F57721">
        <w:rPr>
          <w:rFonts w:cstheme="minorHAnsi"/>
        </w:rPr>
        <w:t xml:space="preserve"> emphasizes</w:t>
      </w:r>
      <w:r w:rsidR="00341CF6" w:rsidRPr="00F57721">
        <w:rPr>
          <w:rFonts w:cstheme="minorHAnsi"/>
        </w:rPr>
        <w:t>, “is about taking a broader lens to company valuation to get a more complete picture.” There is always more than one material ESG issue to consider</w:t>
      </w:r>
      <w:r w:rsidR="007366E5" w:rsidRPr="00F57721">
        <w:rPr>
          <w:rFonts w:cstheme="minorHAnsi"/>
        </w:rPr>
        <w:t>:</w:t>
      </w:r>
      <w:r w:rsidR="00341CF6" w:rsidRPr="00F57721">
        <w:rPr>
          <w:rFonts w:cstheme="minorHAnsi"/>
        </w:rPr>
        <w:t xml:space="preserve"> “I</w:t>
      </w:r>
      <w:r w:rsidR="00341CF6" w:rsidRPr="00F57721">
        <w:rPr>
          <w:rFonts w:eastAsia="Times New Roman" w:cstheme="minorHAnsi"/>
        </w:rPr>
        <w:t>t</w:t>
      </w:r>
      <w:r w:rsidR="00A44180" w:rsidRPr="00F57721">
        <w:rPr>
          <w:rFonts w:eastAsia="Times New Roman" w:cstheme="minorHAnsi"/>
        </w:rPr>
        <w:t>’</w:t>
      </w:r>
      <w:r w:rsidR="00341CF6" w:rsidRPr="00F57721">
        <w:rPr>
          <w:rFonts w:eastAsia="Times New Roman" w:cstheme="minorHAnsi"/>
        </w:rPr>
        <w:t>s equally hard to perceive a sound case for creating separate sets of standards for each issue because that would lead to more fragmentation at a time when the market actually needs convergence around a common framework.” </w:t>
      </w:r>
      <w:r w:rsidR="00590990" w:rsidRPr="00F57721">
        <w:rPr>
          <w:rFonts w:eastAsia="Times New Roman" w:cstheme="minorHAnsi"/>
        </w:rPr>
        <w:t>But f</w:t>
      </w:r>
      <w:r w:rsidR="005F6F71" w:rsidRPr="00F57721">
        <w:rPr>
          <w:rFonts w:eastAsia="Times New Roman" w:cstheme="minorHAnsi"/>
        </w:rPr>
        <w:t>rom an advisor’s perspective, “all-in-one” fund ratings do not consider a fund’s stewardship activities or its intentions and obfuscates nuances that are meaningful,</w:t>
      </w:r>
      <w:r w:rsidR="00A44180" w:rsidRPr="00F57721">
        <w:rPr>
          <w:rFonts w:eastAsia="Times New Roman" w:cstheme="minorHAnsi"/>
        </w:rPr>
        <w:t xml:space="preserve"> </w:t>
      </w:r>
      <w:proofErr w:type="spellStart"/>
      <w:r w:rsidR="00A44180" w:rsidRPr="00F57721">
        <w:rPr>
          <w:rFonts w:eastAsia="Times New Roman" w:cstheme="minorHAnsi"/>
        </w:rPr>
        <w:t>Lanz</w:t>
      </w:r>
      <w:proofErr w:type="spellEnd"/>
      <w:r w:rsidR="005F6F71" w:rsidRPr="00F57721">
        <w:rPr>
          <w:rFonts w:eastAsia="Times New Roman" w:cstheme="minorHAnsi"/>
        </w:rPr>
        <w:t xml:space="preserve"> cautions. (An August 2021 column </w:t>
      </w:r>
      <w:proofErr w:type="spellStart"/>
      <w:r w:rsidR="005F6F71" w:rsidRPr="00F57721">
        <w:rPr>
          <w:rFonts w:eastAsia="Times New Roman" w:cstheme="minorHAnsi"/>
        </w:rPr>
        <w:t>Lanz</w:t>
      </w:r>
      <w:proofErr w:type="spellEnd"/>
      <w:r w:rsidR="005F6F71" w:rsidRPr="00F57721">
        <w:rPr>
          <w:rFonts w:eastAsia="Times New Roman" w:cstheme="minorHAnsi"/>
        </w:rPr>
        <w:t xml:space="preserve"> wrote for IE, </w:t>
      </w:r>
      <w:hyperlink r:id="rId14" w:history="1">
        <w:r w:rsidR="005F6F71" w:rsidRPr="00F57721">
          <w:rPr>
            <w:rStyle w:val="Hyperlink"/>
            <w:rFonts w:eastAsia="Times New Roman" w:cstheme="minorHAnsi"/>
          </w:rPr>
          <w:t>An advisor’s short guide to greenwashing</w:t>
        </w:r>
      </w:hyperlink>
      <w:r w:rsidR="005F6F71" w:rsidRPr="00F57721">
        <w:rPr>
          <w:rFonts w:eastAsia="Times New Roman" w:cstheme="minorHAnsi"/>
        </w:rPr>
        <w:t>, explores these issues in depth.)</w:t>
      </w:r>
      <w:r w:rsidR="005F5A1D" w:rsidRPr="00F57721">
        <w:rPr>
          <w:rFonts w:eastAsia="Times New Roman" w:cstheme="minorHAnsi"/>
        </w:rPr>
        <w:t xml:space="preserve"> </w:t>
      </w:r>
    </w:p>
    <w:p w14:paraId="7BE3C085" w14:textId="0980BF97" w:rsidR="0021112C" w:rsidRPr="00F57721" w:rsidRDefault="0021112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0BDD845F" w14:textId="71BE49D0" w:rsidR="00F83754" w:rsidRPr="00F57721" w:rsidRDefault="00BF363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It’s clear to the CETFA that any move to u</w:t>
      </w:r>
      <w:r w:rsidR="0021112C" w:rsidRPr="00F57721">
        <w:rPr>
          <w:rFonts w:cstheme="minorHAnsi"/>
        </w:rPr>
        <w:t>nbundl</w:t>
      </w:r>
      <w:r w:rsidRPr="00F57721">
        <w:rPr>
          <w:rFonts w:cstheme="minorHAnsi"/>
        </w:rPr>
        <w:t>e</w:t>
      </w:r>
      <w:r w:rsidR="0021112C" w:rsidRPr="00F57721">
        <w:rPr>
          <w:rFonts w:cstheme="minorHAnsi"/>
        </w:rPr>
        <w:t xml:space="preserve"> ESG </w:t>
      </w:r>
      <w:r w:rsidR="00590990" w:rsidRPr="00F57721">
        <w:rPr>
          <w:rFonts w:cstheme="minorHAnsi"/>
        </w:rPr>
        <w:t>is unlikely to</w:t>
      </w:r>
      <w:r w:rsidRPr="00F57721">
        <w:rPr>
          <w:rFonts w:cstheme="minorHAnsi"/>
        </w:rPr>
        <w:t xml:space="preserve"> </w:t>
      </w:r>
      <w:r w:rsidR="0021112C" w:rsidRPr="00F57721">
        <w:rPr>
          <w:rFonts w:cstheme="minorHAnsi"/>
        </w:rPr>
        <w:t>gain traction</w:t>
      </w:r>
      <w:r w:rsidR="00BE15EB" w:rsidRPr="00F57721">
        <w:rPr>
          <w:rFonts w:cstheme="minorHAnsi"/>
        </w:rPr>
        <w:t xml:space="preserve"> g</w:t>
      </w:r>
      <w:r w:rsidR="0021112C" w:rsidRPr="00F57721">
        <w:rPr>
          <w:rFonts w:cstheme="minorHAnsi"/>
        </w:rPr>
        <w:t xml:space="preserve">iven </w:t>
      </w:r>
      <w:r w:rsidR="00912EBF" w:rsidRPr="00F57721">
        <w:rPr>
          <w:rFonts w:cstheme="minorHAnsi"/>
        </w:rPr>
        <w:t xml:space="preserve">what investors want and expect, </w:t>
      </w:r>
      <w:r w:rsidR="000A2FC0" w:rsidRPr="00F57721">
        <w:rPr>
          <w:rFonts w:cstheme="minorHAnsi"/>
        </w:rPr>
        <w:t>where the industry is</w:t>
      </w:r>
      <w:r w:rsidR="00912EBF" w:rsidRPr="00F57721">
        <w:rPr>
          <w:rFonts w:cstheme="minorHAnsi"/>
        </w:rPr>
        <w:t xml:space="preserve"> and </w:t>
      </w:r>
      <w:r w:rsidR="000A2FC0" w:rsidRPr="00F57721">
        <w:rPr>
          <w:rFonts w:cstheme="minorHAnsi"/>
        </w:rPr>
        <w:t>where it</w:t>
      </w:r>
      <w:r w:rsidR="00BE15EB" w:rsidRPr="00F57721">
        <w:rPr>
          <w:rFonts w:cstheme="minorHAnsi"/>
        </w:rPr>
        <w:t>’</w:t>
      </w:r>
      <w:r w:rsidR="000A2FC0" w:rsidRPr="00F57721">
        <w:rPr>
          <w:rFonts w:cstheme="minorHAnsi"/>
        </w:rPr>
        <w:t>s headed</w:t>
      </w:r>
      <w:r w:rsidR="00912EBF" w:rsidRPr="00F57721">
        <w:rPr>
          <w:rFonts w:cstheme="minorHAnsi"/>
        </w:rPr>
        <w:t>,</w:t>
      </w:r>
      <w:r w:rsidR="000A2FC0" w:rsidRPr="00F57721">
        <w:rPr>
          <w:rFonts w:cstheme="minorHAnsi"/>
        </w:rPr>
        <w:t xml:space="preserve"> and what invest</w:t>
      </w:r>
      <w:r w:rsidR="00BE15EB" w:rsidRPr="00F57721">
        <w:rPr>
          <w:rFonts w:cstheme="minorHAnsi"/>
        </w:rPr>
        <w:t>ment professionals need to confidently advise their clients</w:t>
      </w:r>
      <w:r w:rsidR="000A2FC0" w:rsidRPr="00F57721">
        <w:rPr>
          <w:rFonts w:cstheme="minorHAnsi"/>
        </w:rPr>
        <w:t xml:space="preserve">. </w:t>
      </w:r>
      <w:r w:rsidR="00BE15EB" w:rsidRPr="00F57721">
        <w:rPr>
          <w:rFonts w:cstheme="minorHAnsi"/>
        </w:rPr>
        <w:t>T</w:t>
      </w:r>
      <w:r w:rsidR="00C44CC9" w:rsidRPr="00F57721">
        <w:rPr>
          <w:rFonts w:cstheme="minorHAnsi"/>
        </w:rPr>
        <w:t>he</w:t>
      </w:r>
      <w:r w:rsidR="007366E5" w:rsidRPr="00F57721">
        <w:rPr>
          <w:rFonts w:cstheme="minorHAnsi"/>
        </w:rPr>
        <w:t xml:space="preserve"> motivation</w:t>
      </w:r>
      <w:r w:rsidR="00C44CC9" w:rsidRPr="00F57721">
        <w:rPr>
          <w:rFonts w:cstheme="minorHAnsi"/>
        </w:rPr>
        <w:t xml:space="preserve"> to </w:t>
      </w:r>
      <w:r w:rsidR="00A44180" w:rsidRPr="00F57721">
        <w:rPr>
          <w:rFonts w:cstheme="minorHAnsi"/>
        </w:rPr>
        <w:t xml:space="preserve">clarify and </w:t>
      </w:r>
      <w:r w:rsidR="00C44CC9" w:rsidRPr="00F57721">
        <w:rPr>
          <w:rFonts w:cstheme="minorHAnsi"/>
        </w:rPr>
        <w:t xml:space="preserve">solidify what ESG truly stands for </w:t>
      </w:r>
      <w:r w:rsidR="00BE15EB" w:rsidRPr="00F57721">
        <w:rPr>
          <w:rFonts w:cstheme="minorHAnsi"/>
        </w:rPr>
        <w:t xml:space="preserve">– as a unified concept – </w:t>
      </w:r>
      <w:r w:rsidR="00C44CC9" w:rsidRPr="00F57721">
        <w:rPr>
          <w:rFonts w:cstheme="minorHAnsi"/>
        </w:rPr>
        <w:t>isn’t going away.</w:t>
      </w:r>
      <w:r w:rsidR="000A2FC0" w:rsidRPr="00F57721">
        <w:rPr>
          <w:rFonts w:cstheme="minorHAnsi"/>
        </w:rPr>
        <w:t xml:space="preserve"> </w:t>
      </w:r>
      <w:r w:rsidR="00C44CC9" w:rsidRPr="00F57721">
        <w:rPr>
          <w:rFonts w:cstheme="minorHAnsi"/>
        </w:rPr>
        <w:t>So where do we go from here?</w:t>
      </w:r>
    </w:p>
    <w:p w14:paraId="2B3ADA82" w14:textId="27C03826" w:rsidR="00F83754" w:rsidRPr="00F57721" w:rsidRDefault="00F8375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3A6C8E95" w14:textId="018C4231" w:rsidR="005F6F71" w:rsidRPr="00F57721" w:rsidRDefault="00BF363C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Although some elements are still </w:t>
      </w:r>
      <w:r w:rsidR="00912EBF" w:rsidRPr="00F57721">
        <w:rPr>
          <w:rFonts w:cstheme="minorHAnsi"/>
        </w:rPr>
        <w:t xml:space="preserve">to be </w:t>
      </w:r>
      <w:r w:rsidRPr="00F57721">
        <w:rPr>
          <w:rFonts w:cstheme="minorHAnsi"/>
        </w:rPr>
        <w:t>introduced, t</w:t>
      </w:r>
      <w:r w:rsidR="00D51D36" w:rsidRPr="00F57721">
        <w:rPr>
          <w:rFonts w:cstheme="minorHAnsi"/>
        </w:rPr>
        <w:t>he standards published by the CFA ha</w:t>
      </w:r>
      <w:r w:rsidR="007E229E" w:rsidRPr="00F57721">
        <w:rPr>
          <w:rFonts w:cstheme="minorHAnsi"/>
        </w:rPr>
        <w:t>ve</w:t>
      </w:r>
      <w:r w:rsidR="00D51D36" w:rsidRPr="00F57721">
        <w:rPr>
          <w:rFonts w:cstheme="minorHAnsi"/>
        </w:rPr>
        <w:t xml:space="preserve"> </w:t>
      </w:r>
      <w:r w:rsidR="00590990" w:rsidRPr="00F57721">
        <w:rPr>
          <w:rFonts w:cstheme="minorHAnsi"/>
        </w:rPr>
        <w:t xml:space="preserve">had an impact in </w:t>
      </w:r>
      <w:r w:rsidR="00D51D36" w:rsidRPr="00F57721">
        <w:rPr>
          <w:rFonts w:cstheme="minorHAnsi"/>
        </w:rPr>
        <w:t>Canada</w:t>
      </w:r>
      <w:r w:rsidR="005F6F71" w:rsidRPr="00F57721">
        <w:rPr>
          <w:rFonts w:cstheme="minorHAnsi"/>
        </w:rPr>
        <w:t xml:space="preserve">. “The CFA’s disclosure standard for investment products is the only credible disclosure framework for ESG funds globally,” says </w:t>
      </w:r>
      <w:proofErr w:type="spellStart"/>
      <w:r w:rsidR="005F6F71" w:rsidRPr="00F57721">
        <w:rPr>
          <w:rFonts w:cstheme="minorHAnsi"/>
        </w:rPr>
        <w:t>Lanz</w:t>
      </w:r>
      <w:proofErr w:type="spellEnd"/>
      <w:r w:rsidR="005F6F71" w:rsidRPr="00F57721">
        <w:rPr>
          <w:rFonts w:cstheme="minorHAnsi"/>
        </w:rPr>
        <w:t>. “</w:t>
      </w:r>
      <w:proofErr w:type="gramStart"/>
      <w:r w:rsidR="005F6F71" w:rsidRPr="00F57721">
        <w:rPr>
          <w:rFonts w:cstheme="minorHAnsi"/>
        </w:rPr>
        <w:t>That</w:t>
      </w:r>
      <w:proofErr w:type="gramEnd"/>
      <w:r w:rsidR="005F6F71" w:rsidRPr="00F57721">
        <w:rPr>
          <w:rFonts w:cstheme="minorHAnsi"/>
        </w:rPr>
        <w:t xml:space="preserve"> said</w:t>
      </w:r>
      <w:r w:rsidRPr="00F57721">
        <w:rPr>
          <w:rFonts w:cstheme="minorHAnsi"/>
        </w:rPr>
        <w:t>…</w:t>
      </w:r>
      <w:r w:rsidR="005F6F71" w:rsidRPr="00F57721">
        <w:rPr>
          <w:rFonts w:cstheme="minorHAnsi"/>
        </w:rPr>
        <w:t>there is still a gap in the market that needs to be addressed. This is easier said than done, since there are so many approaches to ESG</w:t>
      </w:r>
      <w:r w:rsidRPr="00F57721">
        <w:rPr>
          <w:rFonts w:cstheme="minorHAnsi"/>
        </w:rPr>
        <w:t>…</w:t>
      </w:r>
      <w:r w:rsidR="005F6F71" w:rsidRPr="00F57721">
        <w:rPr>
          <w:rFonts w:cstheme="minorHAnsi"/>
        </w:rPr>
        <w:t xml:space="preserve">but I think it’s important for industry groups to explore this for the benefit of retail investors </w:t>
      </w:r>
      <w:r w:rsidRPr="00F57721">
        <w:rPr>
          <w:rFonts w:cstheme="minorHAnsi"/>
        </w:rPr>
        <w:t>and</w:t>
      </w:r>
      <w:r w:rsidR="005F6F71" w:rsidRPr="00F57721">
        <w:rPr>
          <w:rFonts w:cstheme="minorHAnsi"/>
        </w:rPr>
        <w:t xml:space="preserve"> advisors.</w:t>
      </w:r>
      <w:r w:rsidRPr="00F57721">
        <w:rPr>
          <w:rFonts w:cstheme="minorHAnsi"/>
        </w:rPr>
        <w:t>”</w:t>
      </w:r>
    </w:p>
    <w:p w14:paraId="70FFFE72" w14:textId="77777777" w:rsidR="005F6F71" w:rsidRPr="00F57721" w:rsidRDefault="005F6F71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254A7725" w14:textId="11AC6216" w:rsidR="000F5B50" w:rsidRPr="00F57721" w:rsidRDefault="00912EBF" w:rsidP="00F57721">
      <w:pPr>
        <w:pStyle w:val="Footer"/>
        <w:ind w:left="284"/>
        <w:rPr>
          <w:rFonts w:cstheme="minorHAnsi"/>
        </w:rPr>
      </w:pPr>
      <w:r w:rsidRPr="00F57721">
        <w:rPr>
          <w:rFonts w:cstheme="minorHAnsi"/>
        </w:rPr>
        <w:t>The Canadian Investment Funds Standards Committee (</w:t>
      </w:r>
      <w:r w:rsidR="00D51D36" w:rsidRPr="00F57721">
        <w:rPr>
          <w:rFonts w:cstheme="minorHAnsi"/>
        </w:rPr>
        <w:t>CIFSC</w:t>
      </w:r>
      <w:r w:rsidRPr="00F57721">
        <w:rPr>
          <w:rFonts w:cstheme="minorHAnsi"/>
        </w:rPr>
        <w:t>)</w:t>
      </w:r>
      <w:r w:rsidR="00D51D36" w:rsidRPr="00F57721">
        <w:rPr>
          <w:rFonts w:cstheme="minorHAnsi"/>
        </w:rPr>
        <w:t xml:space="preserve"> </w:t>
      </w:r>
      <w:r w:rsidR="00AE67E8" w:rsidRPr="00F57721">
        <w:rPr>
          <w:rFonts w:cstheme="minorHAnsi"/>
        </w:rPr>
        <w:t xml:space="preserve">has </w:t>
      </w:r>
      <w:r w:rsidR="00BF363C" w:rsidRPr="00F57721">
        <w:rPr>
          <w:rFonts w:cstheme="minorHAnsi"/>
        </w:rPr>
        <w:t xml:space="preserve">also expressed </w:t>
      </w:r>
      <w:r w:rsidR="005F5A1D" w:rsidRPr="00F57721">
        <w:rPr>
          <w:rFonts w:cstheme="minorHAnsi"/>
        </w:rPr>
        <w:t xml:space="preserve">its </w:t>
      </w:r>
      <w:r w:rsidR="00BF363C" w:rsidRPr="00F57721">
        <w:rPr>
          <w:rFonts w:cstheme="minorHAnsi"/>
        </w:rPr>
        <w:t>confidence in the CFA’s standards. L</w:t>
      </w:r>
      <w:r w:rsidR="00D51D36" w:rsidRPr="00F57721">
        <w:rPr>
          <w:rFonts w:cstheme="minorHAnsi"/>
        </w:rPr>
        <w:t>ast December</w:t>
      </w:r>
      <w:r w:rsidR="00BF363C" w:rsidRPr="00F57721">
        <w:rPr>
          <w:rFonts w:cstheme="minorHAnsi"/>
        </w:rPr>
        <w:t xml:space="preserve">, </w:t>
      </w:r>
      <w:r w:rsidR="00B6426E" w:rsidRPr="00F57721">
        <w:rPr>
          <w:rFonts w:cstheme="minorHAnsi"/>
        </w:rPr>
        <w:t>CIFSC</w:t>
      </w:r>
      <w:r w:rsidR="00BF363C" w:rsidRPr="00F57721">
        <w:rPr>
          <w:rFonts w:cstheme="minorHAnsi"/>
        </w:rPr>
        <w:t xml:space="preserve"> stated</w:t>
      </w:r>
      <w:r w:rsidR="00D51D36" w:rsidRPr="00F57721">
        <w:rPr>
          <w:rFonts w:cstheme="minorHAnsi"/>
        </w:rPr>
        <w:t xml:space="preserve"> that the</w:t>
      </w:r>
      <w:r w:rsidRPr="00F57721">
        <w:rPr>
          <w:rFonts w:cstheme="minorHAnsi"/>
        </w:rPr>
        <w:t>y</w:t>
      </w:r>
      <w:r w:rsidR="00D51D36" w:rsidRPr="00F57721">
        <w:rPr>
          <w:rFonts w:cstheme="minorHAnsi"/>
        </w:rPr>
        <w:t xml:space="preserve"> “will be crucial for transparency” and will be used to inform its work in reforming </w:t>
      </w:r>
      <w:r w:rsidR="00B6426E" w:rsidRPr="00F57721">
        <w:rPr>
          <w:rFonts w:cstheme="minorHAnsi"/>
        </w:rPr>
        <w:t>the</w:t>
      </w:r>
      <w:r w:rsidR="005F5A1D" w:rsidRPr="00F57721">
        <w:rPr>
          <w:rFonts w:cstheme="minorHAnsi"/>
        </w:rPr>
        <w:t xml:space="preserve"> </w:t>
      </w:r>
      <w:r w:rsidR="00D51D36" w:rsidRPr="00F57721">
        <w:rPr>
          <w:rFonts w:cstheme="minorHAnsi"/>
        </w:rPr>
        <w:t xml:space="preserve">ESG </w:t>
      </w:r>
      <w:r w:rsidR="000F5B50" w:rsidRPr="00F57721">
        <w:rPr>
          <w:rFonts w:cstheme="minorHAnsi"/>
        </w:rPr>
        <w:t xml:space="preserve">identification framework </w:t>
      </w:r>
      <w:r w:rsidR="00D51D36" w:rsidRPr="00F57721">
        <w:rPr>
          <w:rFonts w:cstheme="minorHAnsi"/>
        </w:rPr>
        <w:t xml:space="preserve">(see the IE article: </w:t>
      </w:r>
      <w:hyperlink r:id="rId15" w:history="1">
        <w:r w:rsidR="00D51D36" w:rsidRPr="00F57721">
          <w:rPr>
            <w:rStyle w:val="Hyperlink"/>
            <w:rFonts w:cstheme="minorHAnsi"/>
          </w:rPr>
          <w:t>Data providers to build on new ESG disclosure</w:t>
        </w:r>
      </w:hyperlink>
      <w:r w:rsidR="00D51D36" w:rsidRPr="00F57721">
        <w:rPr>
          <w:rFonts w:cstheme="minorHAnsi"/>
        </w:rPr>
        <w:t>).</w:t>
      </w:r>
      <w:r w:rsidR="00B6426E" w:rsidRPr="00F57721">
        <w:rPr>
          <w:rFonts w:cstheme="minorHAnsi"/>
        </w:rPr>
        <w:t xml:space="preserve"> That framework</w:t>
      </w:r>
      <w:r w:rsidR="000F5B50" w:rsidRPr="00F57721">
        <w:rPr>
          <w:rFonts w:cstheme="minorHAnsi"/>
        </w:rPr>
        <w:t xml:space="preserve"> will largely align with the CFA Institute’s Global ESG Disclosure Standards for Investment Product and </w:t>
      </w:r>
      <w:r w:rsidR="00B6426E" w:rsidRPr="00F57721">
        <w:rPr>
          <w:rFonts w:cstheme="minorHAnsi"/>
        </w:rPr>
        <w:t xml:space="preserve">will </w:t>
      </w:r>
      <w:r w:rsidR="000F5B50" w:rsidRPr="00F57721">
        <w:rPr>
          <w:rFonts w:cstheme="minorHAnsi"/>
        </w:rPr>
        <w:t xml:space="preserve">complement recent </w:t>
      </w:r>
      <w:hyperlink r:id="rId16" w:history="1">
        <w:r w:rsidR="000F5B50" w:rsidRPr="00F57721">
          <w:rPr>
            <w:rStyle w:val="Hyperlink"/>
            <w:rFonts w:cstheme="minorHAnsi"/>
          </w:rPr>
          <w:t>CSA guidance around ESG fund disclosures</w:t>
        </w:r>
      </w:hyperlink>
      <w:r w:rsidR="000F5B50" w:rsidRPr="00F57721">
        <w:rPr>
          <w:rFonts w:cstheme="minorHAnsi"/>
        </w:rPr>
        <w:t>, using common language and terms.</w:t>
      </w:r>
    </w:p>
    <w:p w14:paraId="1436D02A" w14:textId="34C99711" w:rsidR="00D51D36" w:rsidRPr="00F57721" w:rsidRDefault="00D51D36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210198E9" w14:textId="100BF6F5" w:rsidR="007366E5" w:rsidRPr="00F57721" w:rsidRDefault="00B6426E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Outgoing </w:t>
      </w:r>
      <w:r w:rsidR="007366E5" w:rsidRPr="00F57721">
        <w:rPr>
          <w:rFonts w:cstheme="minorHAnsi"/>
        </w:rPr>
        <w:t xml:space="preserve">CIFSC chair Reid Baker, vice president, analytics &amp; data with </w:t>
      </w:r>
      <w:proofErr w:type="spellStart"/>
      <w:r w:rsidR="007366E5" w:rsidRPr="00F57721">
        <w:rPr>
          <w:rFonts w:cstheme="minorHAnsi"/>
        </w:rPr>
        <w:t>Fundata</w:t>
      </w:r>
      <w:proofErr w:type="spellEnd"/>
      <w:r w:rsidR="007366E5" w:rsidRPr="00F57721">
        <w:rPr>
          <w:rFonts w:cstheme="minorHAnsi"/>
        </w:rPr>
        <w:t xml:space="preserve"> Canada, and </w:t>
      </w:r>
      <w:r w:rsidRPr="00F57721">
        <w:rPr>
          <w:rFonts w:cstheme="minorHAnsi"/>
        </w:rPr>
        <w:t xml:space="preserve">incoming </w:t>
      </w:r>
      <w:r w:rsidR="007366E5" w:rsidRPr="00F57721">
        <w:rPr>
          <w:rFonts w:cstheme="minorHAnsi"/>
        </w:rPr>
        <w:t>chair, Ian Tam, director of investment research, Canada at Morningstar</w:t>
      </w:r>
      <w:r w:rsidRPr="00F57721">
        <w:rPr>
          <w:rFonts w:cstheme="minorHAnsi"/>
        </w:rPr>
        <w:t xml:space="preserve"> told the CETFA that </w:t>
      </w:r>
      <w:r w:rsidR="007366E5" w:rsidRPr="00F57721">
        <w:rPr>
          <w:rFonts w:cstheme="minorHAnsi"/>
        </w:rPr>
        <w:t>CIFSC has been</w:t>
      </w:r>
      <w:r w:rsidR="000F5B50" w:rsidRPr="00F57721">
        <w:rPr>
          <w:rFonts w:cstheme="minorHAnsi"/>
        </w:rPr>
        <w:t xml:space="preserve"> </w:t>
      </w:r>
      <w:r w:rsidR="007366E5" w:rsidRPr="00F57721">
        <w:rPr>
          <w:rFonts w:cstheme="minorHAnsi"/>
        </w:rPr>
        <w:t>working to improv</w:t>
      </w:r>
      <w:r w:rsidRPr="00F57721">
        <w:rPr>
          <w:rFonts w:cstheme="minorHAnsi"/>
        </w:rPr>
        <w:t>e</w:t>
      </w:r>
      <w:r w:rsidR="007366E5" w:rsidRPr="00F57721">
        <w:rPr>
          <w:rFonts w:cstheme="minorHAnsi"/>
        </w:rPr>
        <w:t xml:space="preserve"> ESG/RI standards since March 2020 </w:t>
      </w:r>
      <w:r w:rsidR="000F5B50" w:rsidRPr="00F57721">
        <w:rPr>
          <w:rFonts w:cstheme="minorHAnsi"/>
        </w:rPr>
        <w:t xml:space="preserve">and the development </w:t>
      </w:r>
      <w:r w:rsidR="007366E5" w:rsidRPr="00F57721">
        <w:rPr>
          <w:rFonts w:cstheme="minorHAnsi"/>
        </w:rPr>
        <w:t xml:space="preserve">process </w:t>
      </w:r>
      <w:r w:rsidR="000F5B50" w:rsidRPr="00F57721">
        <w:rPr>
          <w:rFonts w:cstheme="minorHAnsi"/>
        </w:rPr>
        <w:t>is at an advanced stage</w:t>
      </w:r>
      <w:r w:rsidR="007366E5" w:rsidRPr="00F57721">
        <w:rPr>
          <w:rFonts w:cstheme="minorHAnsi"/>
        </w:rPr>
        <w:t>.</w:t>
      </w:r>
      <w:r w:rsidRPr="00F57721">
        <w:rPr>
          <w:rFonts w:cstheme="minorHAnsi"/>
        </w:rPr>
        <w:t xml:space="preserve"> </w:t>
      </w:r>
      <w:r w:rsidR="00225542" w:rsidRPr="00F57721">
        <w:rPr>
          <w:rFonts w:cstheme="minorHAnsi"/>
        </w:rPr>
        <w:t>“Now that the CFA guidelines are out and the CSA has published its guidance on ESG</w:t>
      </w:r>
      <w:r w:rsidR="00AE67E8" w:rsidRPr="00F57721">
        <w:rPr>
          <w:rFonts w:cstheme="minorHAnsi"/>
        </w:rPr>
        <w:t>-</w:t>
      </w:r>
      <w:r w:rsidR="00225542" w:rsidRPr="00F57721">
        <w:rPr>
          <w:rFonts w:cstheme="minorHAnsi"/>
        </w:rPr>
        <w:t>related investment funds, it’s a good time to finalize our work</w:t>
      </w:r>
      <w:r w:rsidR="007366E5" w:rsidRPr="00F57721">
        <w:rPr>
          <w:rFonts w:cstheme="minorHAnsi"/>
        </w:rPr>
        <w:t>,</w:t>
      </w:r>
      <w:r w:rsidR="00225542" w:rsidRPr="00F57721">
        <w:rPr>
          <w:rFonts w:cstheme="minorHAnsi"/>
        </w:rPr>
        <w:t>”</w:t>
      </w:r>
      <w:r w:rsidR="007366E5" w:rsidRPr="00F57721">
        <w:rPr>
          <w:rFonts w:cstheme="minorHAnsi"/>
        </w:rPr>
        <w:t xml:space="preserve"> said Reid</w:t>
      </w:r>
      <w:r w:rsidRPr="00F57721">
        <w:rPr>
          <w:rFonts w:cstheme="minorHAnsi"/>
        </w:rPr>
        <w:t xml:space="preserve">, with </w:t>
      </w:r>
      <w:r w:rsidR="00AE67E8" w:rsidRPr="00F57721">
        <w:rPr>
          <w:rFonts w:cstheme="minorHAnsi"/>
        </w:rPr>
        <w:t>Ian</w:t>
      </w:r>
      <w:r w:rsidRPr="00F57721">
        <w:rPr>
          <w:rFonts w:cstheme="minorHAnsi"/>
        </w:rPr>
        <w:t xml:space="preserve"> adding</w:t>
      </w:r>
      <w:r w:rsidR="00AE67E8" w:rsidRPr="00F57721">
        <w:rPr>
          <w:rFonts w:cstheme="minorHAnsi"/>
        </w:rPr>
        <w:t>:</w:t>
      </w:r>
      <w:r w:rsidR="00225542" w:rsidRPr="00F57721">
        <w:rPr>
          <w:rFonts w:cstheme="minorHAnsi"/>
        </w:rPr>
        <w:t xml:space="preserve"> </w:t>
      </w:r>
      <w:r w:rsidR="007366E5" w:rsidRPr="00F57721">
        <w:rPr>
          <w:rFonts w:cstheme="minorHAnsi"/>
        </w:rPr>
        <w:t>“The proliferation of sustainable funds</w:t>
      </w:r>
      <w:r w:rsidRPr="00F57721">
        <w:rPr>
          <w:rFonts w:cstheme="minorHAnsi"/>
        </w:rPr>
        <w:t xml:space="preserve"> </w:t>
      </w:r>
      <w:r w:rsidR="007366E5" w:rsidRPr="00F57721">
        <w:rPr>
          <w:rFonts w:cstheme="minorHAnsi"/>
        </w:rPr>
        <w:t>exemplifies the need for a common framework to help investors and advisors identify approaches being used by Canadian fund managers</w:t>
      </w:r>
      <w:r w:rsidR="00225542" w:rsidRPr="00F57721">
        <w:rPr>
          <w:rFonts w:cstheme="minorHAnsi"/>
        </w:rPr>
        <w:t>.</w:t>
      </w:r>
      <w:r w:rsidR="007366E5" w:rsidRPr="00F57721">
        <w:rPr>
          <w:rFonts w:cstheme="minorHAnsi"/>
        </w:rPr>
        <w:t>”</w:t>
      </w:r>
    </w:p>
    <w:p w14:paraId="37632C0F" w14:textId="77777777" w:rsidR="000445B4" w:rsidRPr="00F57721" w:rsidRDefault="000445B4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2CEE471C" w14:textId="0E17A53B" w:rsidR="007E229E" w:rsidRPr="00F57721" w:rsidRDefault="00B6426E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Once the </w:t>
      </w:r>
      <w:r w:rsidR="00AE67E8" w:rsidRPr="00F57721">
        <w:rPr>
          <w:rFonts w:cstheme="minorHAnsi"/>
        </w:rPr>
        <w:t xml:space="preserve">framework </w:t>
      </w:r>
      <w:r w:rsidRPr="00F57721">
        <w:rPr>
          <w:rFonts w:cstheme="minorHAnsi"/>
        </w:rPr>
        <w:t xml:space="preserve">is finalized </w:t>
      </w:r>
      <w:r w:rsidR="00AE67E8" w:rsidRPr="00F57721">
        <w:rPr>
          <w:rFonts w:cstheme="minorHAnsi"/>
        </w:rPr>
        <w:t xml:space="preserve">and stakeholder input </w:t>
      </w:r>
      <w:r w:rsidRPr="00F57721">
        <w:rPr>
          <w:rFonts w:cstheme="minorHAnsi"/>
        </w:rPr>
        <w:t xml:space="preserve">has been incorporated, </w:t>
      </w:r>
      <w:r w:rsidR="00AE67E8" w:rsidRPr="00F57721">
        <w:rPr>
          <w:rFonts w:cstheme="minorHAnsi"/>
        </w:rPr>
        <w:t xml:space="preserve">the final version </w:t>
      </w:r>
      <w:r w:rsidRPr="00F57721">
        <w:rPr>
          <w:rFonts w:cstheme="minorHAnsi"/>
        </w:rPr>
        <w:t xml:space="preserve">will be released </w:t>
      </w:r>
      <w:r w:rsidR="00AE67E8" w:rsidRPr="00F57721">
        <w:rPr>
          <w:rFonts w:cstheme="minorHAnsi"/>
        </w:rPr>
        <w:t>for public comment</w:t>
      </w:r>
      <w:r w:rsidRPr="00F57721">
        <w:rPr>
          <w:rFonts w:cstheme="minorHAnsi"/>
        </w:rPr>
        <w:t xml:space="preserve"> and will </w:t>
      </w:r>
      <w:r w:rsidR="00AE67E8" w:rsidRPr="00F57721">
        <w:rPr>
          <w:rFonts w:cstheme="minorHAnsi"/>
        </w:rPr>
        <w:t xml:space="preserve">then </w:t>
      </w:r>
      <w:r w:rsidRPr="00F57721">
        <w:rPr>
          <w:rFonts w:cstheme="minorHAnsi"/>
        </w:rPr>
        <w:t xml:space="preserve">be </w:t>
      </w:r>
      <w:r w:rsidR="00AE67E8" w:rsidRPr="00F57721">
        <w:rPr>
          <w:rFonts w:cstheme="minorHAnsi"/>
        </w:rPr>
        <w:t>adjus</w:t>
      </w:r>
      <w:r w:rsidRPr="00F57721">
        <w:rPr>
          <w:rFonts w:cstheme="minorHAnsi"/>
        </w:rPr>
        <w:t xml:space="preserve">ted </w:t>
      </w:r>
      <w:r w:rsidR="00AE67E8" w:rsidRPr="00F57721">
        <w:rPr>
          <w:rFonts w:cstheme="minorHAnsi"/>
        </w:rPr>
        <w:t>as</w:t>
      </w:r>
      <w:r w:rsidRPr="00F57721">
        <w:rPr>
          <w:rFonts w:cstheme="minorHAnsi"/>
        </w:rPr>
        <w:t xml:space="preserve"> needed</w:t>
      </w:r>
      <w:r w:rsidR="00AE67E8" w:rsidRPr="00F57721">
        <w:rPr>
          <w:rFonts w:cstheme="minorHAnsi"/>
        </w:rPr>
        <w:t xml:space="preserve">. CIFSC members </w:t>
      </w:r>
      <w:r w:rsidRPr="00F57721">
        <w:rPr>
          <w:rFonts w:cstheme="minorHAnsi"/>
        </w:rPr>
        <w:t xml:space="preserve">can </w:t>
      </w:r>
      <w:r w:rsidR="00AE67E8" w:rsidRPr="00F57721">
        <w:rPr>
          <w:rFonts w:cstheme="minorHAnsi"/>
        </w:rPr>
        <w:t xml:space="preserve">then “seed” the list with </w:t>
      </w:r>
      <w:r w:rsidRPr="00F57721">
        <w:rPr>
          <w:rFonts w:cstheme="minorHAnsi"/>
        </w:rPr>
        <w:t xml:space="preserve">existing </w:t>
      </w:r>
      <w:r w:rsidR="00AE67E8" w:rsidRPr="00F57721">
        <w:rPr>
          <w:rFonts w:cstheme="minorHAnsi"/>
        </w:rPr>
        <w:t xml:space="preserve">funds that fit one or more </w:t>
      </w:r>
      <w:r w:rsidRPr="00F57721">
        <w:rPr>
          <w:rFonts w:cstheme="minorHAnsi"/>
        </w:rPr>
        <w:t xml:space="preserve">confirmed ESG </w:t>
      </w:r>
      <w:r w:rsidR="00AE67E8" w:rsidRPr="00F57721">
        <w:rPr>
          <w:rFonts w:cstheme="minorHAnsi"/>
        </w:rPr>
        <w:t>approach</w:t>
      </w:r>
      <w:r w:rsidRPr="00F57721">
        <w:rPr>
          <w:rFonts w:cstheme="minorHAnsi"/>
        </w:rPr>
        <w:t>; the same approach will apply to n</w:t>
      </w:r>
      <w:r w:rsidR="00AE67E8" w:rsidRPr="00F57721">
        <w:rPr>
          <w:rFonts w:cstheme="minorHAnsi"/>
        </w:rPr>
        <w:t>ew fund</w:t>
      </w:r>
      <w:r w:rsidRPr="00F57721">
        <w:rPr>
          <w:rFonts w:cstheme="minorHAnsi"/>
        </w:rPr>
        <w:t>s</w:t>
      </w:r>
      <w:r w:rsidR="00320000" w:rsidRPr="00F57721">
        <w:rPr>
          <w:rFonts w:cstheme="minorHAnsi"/>
        </w:rPr>
        <w:t>,</w:t>
      </w:r>
      <w:r w:rsidR="00590990" w:rsidRPr="00F57721">
        <w:rPr>
          <w:rFonts w:cstheme="minorHAnsi"/>
        </w:rPr>
        <w:t xml:space="preserve"> and everything will be made public via the CIFSC website</w:t>
      </w:r>
      <w:r w:rsidR="00AE67E8" w:rsidRPr="00F57721">
        <w:rPr>
          <w:rFonts w:cstheme="minorHAnsi"/>
        </w:rPr>
        <w:t>.</w:t>
      </w:r>
      <w:r w:rsidR="000F5B50" w:rsidRPr="00F57721">
        <w:rPr>
          <w:rFonts w:cstheme="minorHAnsi"/>
        </w:rPr>
        <w:t xml:space="preserve"> “</w:t>
      </w:r>
      <w:r w:rsidR="00AE67E8" w:rsidRPr="00F57721">
        <w:rPr>
          <w:rFonts w:cstheme="minorHAnsi"/>
        </w:rPr>
        <w:t xml:space="preserve">Having a standardized ESG identification framework will provide advisors with a more efficient basis for undertaking </w:t>
      </w:r>
      <w:r w:rsidRPr="00F57721">
        <w:rPr>
          <w:rFonts w:cstheme="minorHAnsi"/>
        </w:rPr>
        <w:t xml:space="preserve">their </w:t>
      </w:r>
      <w:r w:rsidR="00AE67E8" w:rsidRPr="00F57721">
        <w:rPr>
          <w:rFonts w:cstheme="minorHAnsi"/>
        </w:rPr>
        <w:t>research</w:t>
      </w:r>
      <w:r w:rsidRPr="00F57721">
        <w:rPr>
          <w:rFonts w:cstheme="minorHAnsi"/>
        </w:rPr>
        <w:t>,</w:t>
      </w:r>
      <w:r w:rsidR="000F5B50" w:rsidRPr="00F57721">
        <w:rPr>
          <w:rFonts w:cstheme="minorHAnsi"/>
        </w:rPr>
        <w:t>”</w:t>
      </w:r>
      <w:r w:rsidRPr="00F57721">
        <w:rPr>
          <w:rFonts w:cstheme="minorHAnsi"/>
        </w:rPr>
        <w:t xml:space="preserve"> said</w:t>
      </w:r>
      <w:r w:rsidR="00590990" w:rsidRPr="00F57721">
        <w:rPr>
          <w:rFonts w:cstheme="minorHAnsi"/>
        </w:rPr>
        <w:t xml:space="preserve"> Ian</w:t>
      </w:r>
      <w:r w:rsidRPr="00F57721">
        <w:rPr>
          <w:rFonts w:cstheme="minorHAnsi"/>
        </w:rPr>
        <w:t>.</w:t>
      </w:r>
    </w:p>
    <w:p w14:paraId="1D555D02" w14:textId="11DA175E" w:rsidR="00137E53" w:rsidRPr="00F57721" w:rsidRDefault="00137E53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76BF3614" w14:textId="10E1C608" w:rsidR="00B6426E" w:rsidRPr="00F57721" w:rsidRDefault="00590990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  <w:b/>
          <w:bCs/>
        </w:rPr>
      </w:pPr>
      <w:r w:rsidRPr="00F57721">
        <w:rPr>
          <w:rFonts w:cstheme="minorHAnsi"/>
          <w:b/>
          <w:bCs/>
        </w:rPr>
        <w:t xml:space="preserve">Work towards finalizing a workable and </w:t>
      </w:r>
      <w:proofErr w:type="gramStart"/>
      <w:r w:rsidRPr="00F57721">
        <w:rPr>
          <w:rFonts w:cstheme="minorHAnsi"/>
          <w:b/>
          <w:bCs/>
        </w:rPr>
        <w:t>advisor-friendly</w:t>
      </w:r>
      <w:proofErr w:type="gramEnd"/>
      <w:r w:rsidRPr="00F57721">
        <w:rPr>
          <w:rFonts w:cstheme="minorHAnsi"/>
          <w:b/>
          <w:bCs/>
        </w:rPr>
        <w:t xml:space="preserve"> ESG solution is progressing</w:t>
      </w:r>
    </w:p>
    <w:p w14:paraId="0168CF1A" w14:textId="77777777" w:rsidR="00B6426E" w:rsidRPr="00F57721" w:rsidRDefault="00B6426E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2AA99DFE" w14:textId="2A257258" w:rsidR="00FA5D73" w:rsidRPr="00F57721" w:rsidRDefault="00B6426E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 xml:space="preserve">From the CETFA’s perspective, moving towards </w:t>
      </w:r>
      <w:r w:rsidR="00765BF5" w:rsidRPr="00F57721">
        <w:rPr>
          <w:rFonts w:cstheme="minorHAnsi"/>
        </w:rPr>
        <w:t xml:space="preserve">a binding set of </w:t>
      </w:r>
      <w:r w:rsidR="00137E53" w:rsidRPr="00F57721">
        <w:rPr>
          <w:rFonts w:cstheme="minorHAnsi"/>
        </w:rPr>
        <w:t xml:space="preserve">ESG </w:t>
      </w:r>
      <w:r w:rsidR="00765BF5" w:rsidRPr="00F57721">
        <w:rPr>
          <w:rFonts w:cstheme="minorHAnsi"/>
        </w:rPr>
        <w:t xml:space="preserve">criteria </w:t>
      </w:r>
      <w:r w:rsidR="00590990" w:rsidRPr="00F57721">
        <w:rPr>
          <w:rFonts w:cstheme="minorHAnsi"/>
        </w:rPr>
        <w:t xml:space="preserve">in Canada </w:t>
      </w:r>
      <w:r w:rsidR="000F5B50" w:rsidRPr="00F57721">
        <w:rPr>
          <w:rFonts w:cstheme="minorHAnsi"/>
        </w:rPr>
        <w:t xml:space="preserve">that can </w:t>
      </w:r>
      <w:r w:rsidR="00765BF5" w:rsidRPr="00F57721">
        <w:rPr>
          <w:rFonts w:cstheme="minorHAnsi"/>
        </w:rPr>
        <w:t xml:space="preserve">satisfy </w:t>
      </w:r>
      <w:r w:rsidR="000F5B50" w:rsidRPr="00F57721">
        <w:rPr>
          <w:rFonts w:cstheme="minorHAnsi"/>
        </w:rPr>
        <w:t>the many expectations</w:t>
      </w:r>
      <w:r w:rsidR="00FA5D73" w:rsidRPr="00F57721">
        <w:rPr>
          <w:rFonts w:cstheme="minorHAnsi"/>
        </w:rPr>
        <w:t xml:space="preserve"> of</w:t>
      </w:r>
      <w:r w:rsidR="000F5B50" w:rsidRPr="00F57721">
        <w:rPr>
          <w:rFonts w:cstheme="minorHAnsi"/>
        </w:rPr>
        <w:t xml:space="preserve"> them </w:t>
      </w:r>
      <w:r w:rsidR="00137E53" w:rsidRPr="00F57721">
        <w:rPr>
          <w:rFonts w:cstheme="minorHAnsi"/>
        </w:rPr>
        <w:t>remains a work in progres</w:t>
      </w:r>
      <w:r w:rsidRPr="00F57721">
        <w:rPr>
          <w:rFonts w:cstheme="minorHAnsi"/>
        </w:rPr>
        <w:t>s</w:t>
      </w:r>
      <w:r w:rsidR="00590990" w:rsidRPr="00F57721">
        <w:rPr>
          <w:rFonts w:cstheme="minorHAnsi"/>
        </w:rPr>
        <w:t>, b</w:t>
      </w:r>
      <w:r w:rsidR="00137E53" w:rsidRPr="00F57721">
        <w:rPr>
          <w:rFonts w:cstheme="minorHAnsi"/>
        </w:rPr>
        <w:t>ut</w:t>
      </w:r>
      <w:r w:rsidR="00765BF5" w:rsidRPr="00F57721">
        <w:rPr>
          <w:rFonts w:cstheme="minorHAnsi"/>
        </w:rPr>
        <w:t xml:space="preserve"> </w:t>
      </w:r>
      <w:r w:rsidR="00FA5D73" w:rsidRPr="00F57721">
        <w:rPr>
          <w:rFonts w:cstheme="minorHAnsi"/>
        </w:rPr>
        <w:t xml:space="preserve">that </w:t>
      </w:r>
      <w:r w:rsidR="000A2FC0" w:rsidRPr="00F57721">
        <w:rPr>
          <w:rFonts w:cstheme="minorHAnsi"/>
        </w:rPr>
        <w:t xml:space="preserve">work </w:t>
      </w:r>
      <w:r w:rsidR="00137E53" w:rsidRPr="00F57721">
        <w:rPr>
          <w:rFonts w:cstheme="minorHAnsi"/>
          <w:i/>
          <w:iCs/>
        </w:rPr>
        <w:t>is progressing</w:t>
      </w:r>
      <w:r w:rsidR="00137E53" w:rsidRPr="00F57721">
        <w:rPr>
          <w:rFonts w:cstheme="minorHAnsi"/>
        </w:rPr>
        <w:t xml:space="preserve">. Perhaps there </w:t>
      </w:r>
      <w:proofErr w:type="gramStart"/>
      <w:r w:rsidR="00137E53" w:rsidRPr="00F57721">
        <w:rPr>
          <w:rFonts w:cstheme="minorHAnsi"/>
        </w:rPr>
        <w:t>can be n</w:t>
      </w:r>
      <w:r w:rsidR="00FA5D73" w:rsidRPr="00F57721">
        <w:rPr>
          <w:rFonts w:cstheme="minorHAnsi"/>
        </w:rPr>
        <w:t>ever be</w:t>
      </w:r>
      <w:proofErr w:type="gramEnd"/>
      <w:r w:rsidR="00FA5D73" w:rsidRPr="00F57721">
        <w:rPr>
          <w:rFonts w:cstheme="minorHAnsi"/>
        </w:rPr>
        <w:t xml:space="preserve"> a single,</w:t>
      </w:r>
      <w:r w:rsidR="00137E53" w:rsidRPr="00F57721">
        <w:rPr>
          <w:rFonts w:cstheme="minorHAnsi"/>
        </w:rPr>
        <w:t xml:space="preserve"> absolutely accepted </w:t>
      </w:r>
      <w:r w:rsidR="00765BF5" w:rsidRPr="00F57721">
        <w:rPr>
          <w:rFonts w:cstheme="minorHAnsi"/>
        </w:rPr>
        <w:t xml:space="preserve">codification of </w:t>
      </w:r>
      <w:r w:rsidR="00FA5D73" w:rsidRPr="00F57721">
        <w:rPr>
          <w:rFonts w:cstheme="minorHAnsi"/>
        </w:rPr>
        <w:t>ESG</w:t>
      </w:r>
      <w:r w:rsidR="00137E53" w:rsidRPr="00F57721">
        <w:rPr>
          <w:rFonts w:cstheme="minorHAnsi"/>
        </w:rPr>
        <w:t xml:space="preserve"> </w:t>
      </w:r>
      <w:r w:rsidR="00FA5D73" w:rsidRPr="00F57721">
        <w:rPr>
          <w:rFonts w:cstheme="minorHAnsi"/>
        </w:rPr>
        <w:t>globally</w:t>
      </w:r>
      <w:r w:rsidR="00590990" w:rsidRPr="00F57721">
        <w:rPr>
          <w:rFonts w:cstheme="minorHAnsi"/>
        </w:rPr>
        <w:t>,</w:t>
      </w:r>
      <w:r w:rsidR="00FA5D73" w:rsidRPr="00F57721">
        <w:rPr>
          <w:rFonts w:cstheme="minorHAnsi"/>
        </w:rPr>
        <w:t xml:space="preserve"> but that need not be a stumbling block </w:t>
      </w:r>
      <w:r w:rsidR="00590990" w:rsidRPr="00F57721">
        <w:rPr>
          <w:rFonts w:cstheme="minorHAnsi"/>
        </w:rPr>
        <w:t xml:space="preserve">for Canadian advisors </w:t>
      </w:r>
      <w:r w:rsidR="00FA5D73" w:rsidRPr="00F57721">
        <w:rPr>
          <w:rFonts w:cstheme="minorHAnsi"/>
        </w:rPr>
        <w:t xml:space="preserve">to deliver advice </w:t>
      </w:r>
      <w:r w:rsidR="00765BF5" w:rsidRPr="00F57721">
        <w:rPr>
          <w:rFonts w:cstheme="minorHAnsi"/>
        </w:rPr>
        <w:t xml:space="preserve">prudently and </w:t>
      </w:r>
      <w:r w:rsidR="00FA5D73" w:rsidRPr="00F57721">
        <w:rPr>
          <w:rFonts w:cstheme="minorHAnsi"/>
        </w:rPr>
        <w:t>confidently.</w:t>
      </w:r>
    </w:p>
    <w:p w14:paraId="62E6594C" w14:textId="77777777" w:rsidR="00FA5D73" w:rsidRPr="00F57721" w:rsidRDefault="00FA5D73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4EB8D356" w14:textId="7C41C6C8" w:rsidR="00137E53" w:rsidRPr="00F57721" w:rsidRDefault="00FA5D73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  <w:r w:rsidRPr="00F57721">
        <w:rPr>
          <w:rFonts w:cstheme="minorHAnsi"/>
        </w:rPr>
        <w:t>Eventually, th</w:t>
      </w:r>
      <w:r w:rsidR="00765BF5" w:rsidRPr="00F57721">
        <w:rPr>
          <w:rFonts w:cstheme="minorHAnsi"/>
        </w:rPr>
        <w:t>e lack of a solitary</w:t>
      </w:r>
      <w:r w:rsidR="00590990" w:rsidRPr="00F57721">
        <w:rPr>
          <w:rFonts w:cstheme="minorHAnsi"/>
        </w:rPr>
        <w:t xml:space="preserve"> worldwide</w:t>
      </w:r>
      <w:r w:rsidR="00765BF5" w:rsidRPr="00F57721">
        <w:rPr>
          <w:rFonts w:cstheme="minorHAnsi"/>
        </w:rPr>
        <w:t xml:space="preserve"> “ESG rulebook” </w:t>
      </w:r>
      <w:r w:rsidR="00137E53" w:rsidRPr="00F57721">
        <w:rPr>
          <w:rFonts w:cstheme="minorHAnsi"/>
        </w:rPr>
        <w:t xml:space="preserve">may not </w:t>
      </w:r>
      <w:r w:rsidR="00765BF5" w:rsidRPr="00F57721">
        <w:rPr>
          <w:rFonts w:cstheme="minorHAnsi"/>
        </w:rPr>
        <w:t xml:space="preserve">present as many complications </w:t>
      </w:r>
      <w:r w:rsidR="00137E53" w:rsidRPr="00F57721">
        <w:rPr>
          <w:rFonts w:cstheme="minorHAnsi"/>
        </w:rPr>
        <w:t xml:space="preserve">to </w:t>
      </w:r>
      <w:r w:rsidRPr="00F57721">
        <w:rPr>
          <w:rFonts w:cstheme="minorHAnsi"/>
        </w:rPr>
        <w:t xml:space="preserve">ESG </w:t>
      </w:r>
      <w:r w:rsidR="00765BF5" w:rsidRPr="00F57721">
        <w:rPr>
          <w:rFonts w:cstheme="minorHAnsi"/>
        </w:rPr>
        <w:t xml:space="preserve">investing </w:t>
      </w:r>
      <w:r w:rsidR="00137E53" w:rsidRPr="00F57721">
        <w:rPr>
          <w:rFonts w:cstheme="minorHAnsi"/>
        </w:rPr>
        <w:t xml:space="preserve">as </w:t>
      </w:r>
      <w:r w:rsidR="00765BF5" w:rsidRPr="00F57721">
        <w:rPr>
          <w:rFonts w:cstheme="minorHAnsi"/>
        </w:rPr>
        <w:t xml:space="preserve">it seems </w:t>
      </w:r>
      <w:r w:rsidRPr="00F57721">
        <w:rPr>
          <w:rFonts w:cstheme="minorHAnsi"/>
        </w:rPr>
        <w:t>today</w:t>
      </w:r>
      <w:r w:rsidR="00137E53" w:rsidRPr="00F57721">
        <w:rPr>
          <w:rFonts w:cstheme="minorHAnsi"/>
        </w:rPr>
        <w:t xml:space="preserve">. </w:t>
      </w:r>
      <w:r w:rsidR="00765BF5" w:rsidRPr="00F57721">
        <w:rPr>
          <w:rFonts w:cstheme="minorHAnsi"/>
        </w:rPr>
        <w:t>A</w:t>
      </w:r>
      <w:r w:rsidRPr="00F57721">
        <w:rPr>
          <w:rFonts w:cstheme="minorHAnsi"/>
        </w:rPr>
        <w:t xml:space="preserve">dvisors </w:t>
      </w:r>
      <w:r w:rsidR="00590990" w:rsidRPr="00F57721">
        <w:rPr>
          <w:rFonts w:cstheme="minorHAnsi"/>
        </w:rPr>
        <w:t xml:space="preserve">may </w:t>
      </w:r>
      <w:r w:rsidRPr="00F57721">
        <w:rPr>
          <w:rFonts w:cstheme="minorHAnsi"/>
        </w:rPr>
        <w:t xml:space="preserve">ultimately </w:t>
      </w:r>
      <w:r w:rsidRPr="00F57721">
        <w:rPr>
          <w:rFonts w:cstheme="minorHAnsi"/>
          <w:i/>
          <w:iCs/>
        </w:rPr>
        <w:t>prefer</w:t>
      </w:r>
      <w:r w:rsidRPr="00F57721">
        <w:rPr>
          <w:rFonts w:cstheme="minorHAnsi"/>
        </w:rPr>
        <w:t xml:space="preserve"> to guide their clients</w:t>
      </w:r>
      <w:r w:rsidR="00765BF5" w:rsidRPr="00F57721">
        <w:rPr>
          <w:rFonts w:cstheme="minorHAnsi"/>
        </w:rPr>
        <w:t>’ ESG investment choices</w:t>
      </w:r>
      <w:r w:rsidRPr="00F57721">
        <w:rPr>
          <w:rFonts w:cstheme="minorHAnsi"/>
        </w:rPr>
        <w:t xml:space="preserve"> </w:t>
      </w:r>
      <w:r w:rsidR="00765BF5" w:rsidRPr="00F57721">
        <w:rPr>
          <w:rFonts w:cstheme="minorHAnsi"/>
        </w:rPr>
        <w:t xml:space="preserve">by applying </w:t>
      </w:r>
      <w:r w:rsidR="00765BF5" w:rsidRPr="00F57721">
        <w:rPr>
          <w:rFonts w:cstheme="minorHAnsi"/>
          <w:i/>
          <w:iCs/>
        </w:rPr>
        <w:t>their</w:t>
      </w:r>
      <w:r w:rsidR="00765BF5" w:rsidRPr="00F57721">
        <w:rPr>
          <w:rFonts w:cstheme="minorHAnsi"/>
        </w:rPr>
        <w:t xml:space="preserve"> judgment to </w:t>
      </w:r>
      <w:r w:rsidRPr="00F57721">
        <w:rPr>
          <w:rFonts w:cstheme="minorHAnsi"/>
        </w:rPr>
        <w:t>credible</w:t>
      </w:r>
      <w:r w:rsidR="00590990" w:rsidRPr="00F57721">
        <w:rPr>
          <w:rFonts w:cstheme="minorHAnsi"/>
        </w:rPr>
        <w:t>, vetted</w:t>
      </w:r>
      <w:r w:rsidR="00765BF5" w:rsidRPr="00F57721">
        <w:rPr>
          <w:rFonts w:cstheme="minorHAnsi"/>
        </w:rPr>
        <w:t xml:space="preserve"> </w:t>
      </w:r>
      <w:r w:rsidRPr="00F57721">
        <w:rPr>
          <w:rFonts w:cstheme="minorHAnsi"/>
        </w:rPr>
        <w:t>sources</w:t>
      </w:r>
      <w:r w:rsidR="00765BF5" w:rsidRPr="00F57721">
        <w:rPr>
          <w:rFonts w:cstheme="minorHAnsi"/>
        </w:rPr>
        <w:t xml:space="preserve"> (plural) </w:t>
      </w:r>
      <w:r w:rsidRPr="00F57721">
        <w:rPr>
          <w:rFonts w:cstheme="minorHAnsi"/>
        </w:rPr>
        <w:t>with an emphasis on</w:t>
      </w:r>
      <w:r w:rsidR="00765BF5" w:rsidRPr="00F57721">
        <w:rPr>
          <w:rFonts w:cstheme="minorHAnsi"/>
        </w:rPr>
        <w:t xml:space="preserve"> using</w:t>
      </w:r>
      <w:r w:rsidRPr="00F57721">
        <w:rPr>
          <w:rFonts w:cstheme="minorHAnsi"/>
        </w:rPr>
        <w:t xml:space="preserve"> those with a </w:t>
      </w:r>
      <w:r w:rsidR="00590990" w:rsidRPr="00F57721">
        <w:rPr>
          <w:rFonts w:cstheme="minorHAnsi"/>
        </w:rPr>
        <w:t xml:space="preserve">sound, </w:t>
      </w:r>
      <w:r w:rsidRPr="00F57721">
        <w:rPr>
          <w:rFonts w:cstheme="minorHAnsi"/>
        </w:rPr>
        <w:t>made-in-Canada</w:t>
      </w:r>
      <w:r w:rsidR="00765BF5" w:rsidRPr="00F57721">
        <w:rPr>
          <w:rFonts w:cstheme="minorHAnsi"/>
        </w:rPr>
        <w:t xml:space="preserve"> perspective</w:t>
      </w:r>
      <w:r w:rsidRPr="00F57721">
        <w:rPr>
          <w:rFonts w:cstheme="minorHAnsi"/>
        </w:rPr>
        <w:t>. Time will tell.</w:t>
      </w:r>
    </w:p>
    <w:p w14:paraId="1E2857A5" w14:textId="0CB711DD" w:rsidR="00765BF5" w:rsidRPr="00F57721" w:rsidRDefault="00765BF5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6634F23F" w14:textId="183E461D" w:rsidR="00765BF5" w:rsidRPr="00F57721" w:rsidRDefault="00765BF5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2814773E" w14:textId="2AC3FF7F" w:rsidR="00765BF5" w:rsidRPr="00F57721" w:rsidRDefault="00765BF5" w:rsidP="00F57721">
      <w:pPr>
        <w:pStyle w:val="Footer"/>
        <w:tabs>
          <w:tab w:val="clear" w:pos="4680"/>
          <w:tab w:val="clear" w:pos="9360"/>
        </w:tabs>
        <w:ind w:left="284"/>
        <w:jc w:val="center"/>
        <w:rPr>
          <w:rFonts w:cstheme="minorHAnsi"/>
        </w:rPr>
      </w:pPr>
      <w:r w:rsidRPr="00F57721">
        <w:rPr>
          <w:rFonts w:cstheme="minorHAnsi"/>
        </w:rPr>
        <w:t>####</w:t>
      </w:r>
    </w:p>
    <w:p w14:paraId="430726CD" w14:textId="04685C92" w:rsidR="00765BF5" w:rsidRPr="00F57721" w:rsidRDefault="00765BF5" w:rsidP="00F57721">
      <w:pPr>
        <w:pStyle w:val="Footer"/>
        <w:tabs>
          <w:tab w:val="clear" w:pos="4680"/>
          <w:tab w:val="clear" w:pos="9360"/>
        </w:tabs>
        <w:ind w:left="284"/>
        <w:rPr>
          <w:rFonts w:cstheme="minorHAnsi"/>
        </w:rPr>
      </w:pPr>
    </w:p>
    <w:p w14:paraId="32B3F534" w14:textId="77777777" w:rsidR="00765BF5" w:rsidRPr="00F57721" w:rsidRDefault="00765BF5" w:rsidP="00AE67E8">
      <w:pPr>
        <w:pStyle w:val="Footer"/>
        <w:tabs>
          <w:tab w:val="clear" w:pos="4680"/>
          <w:tab w:val="clear" w:pos="9360"/>
        </w:tabs>
        <w:rPr>
          <w:rFonts w:cstheme="minorHAnsi"/>
        </w:rPr>
      </w:pPr>
    </w:p>
    <w:sectPr w:rsidR="00765BF5" w:rsidRPr="00F57721" w:rsidSect="00C80CC7">
      <w:headerReference w:type="default" r:id="rId17"/>
      <w:headerReference w:type="first" r:id="rId18"/>
      <w:pgSz w:w="12240" w:h="20160" w:code="5"/>
      <w:pgMar w:top="1440" w:right="1440" w:bottom="1440" w:left="1440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C057" w14:textId="77777777" w:rsidR="00CD0F3B" w:rsidRDefault="00CD0F3B" w:rsidP="00AE3550">
      <w:r>
        <w:separator/>
      </w:r>
    </w:p>
  </w:endnote>
  <w:endnote w:type="continuationSeparator" w:id="0">
    <w:p w14:paraId="36C184BD" w14:textId="77777777" w:rsidR="00CD0F3B" w:rsidRDefault="00CD0F3B" w:rsidP="00A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29A9" w14:textId="77777777" w:rsidR="00CD0F3B" w:rsidRDefault="00CD0F3B" w:rsidP="00AE3550">
      <w:r>
        <w:separator/>
      </w:r>
    </w:p>
  </w:footnote>
  <w:footnote w:type="continuationSeparator" w:id="0">
    <w:p w14:paraId="5423E16F" w14:textId="77777777" w:rsidR="00CD0F3B" w:rsidRDefault="00CD0F3B" w:rsidP="00AE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120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F24FF2" w14:textId="77777777" w:rsidR="00C5514F" w:rsidRDefault="00C551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1C8A8" w14:textId="77777777" w:rsidR="00C5514F" w:rsidRDefault="00C55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732" w14:textId="4570300A" w:rsidR="00F57721" w:rsidRDefault="00F57721">
    <w:pPr>
      <w:pStyle w:val="Header"/>
    </w:pPr>
    <w:r>
      <w:rPr>
        <w:noProof/>
      </w:rPr>
      <w:drawing>
        <wp:inline distT="0" distB="0" distL="0" distR="0" wp14:anchorId="7BEFBFE1" wp14:editId="3B5C983F">
          <wp:extent cx="1566672" cy="78333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7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CA9"/>
    <w:multiLevelType w:val="hybridMultilevel"/>
    <w:tmpl w:val="1CF66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2AC0"/>
    <w:multiLevelType w:val="hybridMultilevel"/>
    <w:tmpl w:val="661A57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048"/>
    <w:multiLevelType w:val="hybridMultilevel"/>
    <w:tmpl w:val="279E3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CE5"/>
    <w:multiLevelType w:val="hybridMultilevel"/>
    <w:tmpl w:val="AB6E0A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D4635"/>
    <w:multiLevelType w:val="hybridMultilevel"/>
    <w:tmpl w:val="3B4C3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CFA"/>
    <w:multiLevelType w:val="hybridMultilevel"/>
    <w:tmpl w:val="6658C7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BA9"/>
    <w:multiLevelType w:val="hybridMultilevel"/>
    <w:tmpl w:val="71EE37E2"/>
    <w:lvl w:ilvl="0" w:tplc="D07CB424"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B7561"/>
    <w:multiLevelType w:val="hybridMultilevel"/>
    <w:tmpl w:val="A462F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58AF"/>
    <w:multiLevelType w:val="hybridMultilevel"/>
    <w:tmpl w:val="0736F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56617"/>
    <w:multiLevelType w:val="hybridMultilevel"/>
    <w:tmpl w:val="F0FEC3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01277"/>
    <w:multiLevelType w:val="hybridMultilevel"/>
    <w:tmpl w:val="3CB07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B5B50"/>
    <w:multiLevelType w:val="hybridMultilevel"/>
    <w:tmpl w:val="96E8C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A1C7A"/>
    <w:multiLevelType w:val="hybridMultilevel"/>
    <w:tmpl w:val="61E04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48A8"/>
    <w:multiLevelType w:val="hybridMultilevel"/>
    <w:tmpl w:val="3586A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14B43"/>
    <w:multiLevelType w:val="hybridMultilevel"/>
    <w:tmpl w:val="077C8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7B96"/>
    <w:multiLevelType w:val="hybridMultilevel"/>
    <w:tmpl w:val="D4463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39F4"/>
    <w:multiLevelType w:val="hybridMultilevel"/>
    <w:tmpl w:val="F108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86BB0"/>
    <w:multiLevelType w:val="hybridMultilevel"/>
    <w:tmpl w:val="6EC4B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EC5199"/>
    <w:multiLevelType w:val="hybridMultilevel"/>
    <w:tmpl w:val="34C61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D0264"/>
    <w:multiLevelType w:val="hybridMultilevel"/>
    <w:tmpl w:val="71589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FFD"/>
    <w:multiLevelType w:val="hybridMultilevel"/>
    <w:tmpl w:val="2F94A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343FA"/>
    <w:multiLevelType w:val="hybridMultilevel"/>
    <w:tmpl w:val="52889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0C91"/>
    <w:multiLevelType w:val="hybridMultilevel"/>
    <w:tmpl w:val="8182D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A6DB9"/>
    <w:multiLevelType w:val="hybridMultilevel"/>
    <w:tmpl w:val="20221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950CD"/>
    <w:multiLevelType w:val="hybridMultilevel"/>
    <w:tmpl w:val="18E8F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F0551"/>
    <w:multiLevelType w:val="hybridMultilevel"/>
    <w:tmpl w:val="53CE9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4467"/>
    <w:multiLevelType w:val="hybridMultilevel"/>
    <w:tmpl w:val="B538B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4B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2519A"/>
    <w:multiLevelType w:val="hybridMultilevel"/>
    <w:tmpl w:val="B1A226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13"/>
  </w:num>
  <w:num w:numId="5">
    <w:abstractNumId w:val="20"/>
  </w:num>
  <w:num w:numId="6">
    <w:abstractNumId w:val="18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"/>
  </w:num>
  <w:num w:numId="18">
    <w:abstractNumId w:val="8"/>
  </w:num>
  <w:num w:numId="19">
    <w:abstractNumId w:val="24"/>
  </w:num>
  <w:num w:numId="20">
    <w:abstractNumId w:val="16"/>
  </w:num>
  <w:num w:numId="21">
    <w:abstractNumId w:val="0"/>
  </w:num>
  <w:num w:numId="22">
    <w:abstractNumId w:val="5"/>
  </w:num>
  <w:num w:numId="23">
    <w:abstractNumId w:val="11"/>
  </w:num>
  <w:num w:numId="24">
    <w:abstractNumId w:val="22"/>
  </w:num>
  <w:num w:numId="25">
    <w:abstractNumId w:val="26"/>
  </w:num>
  <w:num w:numId="26">
    <w:abstractNumId w:val="23"/>
  </w:num>
  <w:num w:numId="27">
    <w:abstractNumId w:val="14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AC"/>
    <w:rsid w:val="00006AB9"/>
    <w:rsid w:val="00014E9C"/>
    <w:rsid w:val="00016D39"/>
    <w:rsid w:val="00023D43"/>
    <w:rsid w:val="00043A39"/>
    <w:rsid w:val="00044065"/>
    <w:rsid w:val="000445B4"/>
    <w:rsid w:val="00077B31"/>
    <w:rsid w:val="00084038"/>
    <w:rsid w:val="00090518"/>
    <w:rsid w:val="000919DA"/>
    <w:rsid w:val="000948CD"/>
    <w:rsid w:val="00094ECD"/>
    <w:rsid w:val="00095AB3"/>
    <w:rsid w:val="000A2FC0"/>
    <w:rsid w:val="000B3960"/>
    <w:rsid w:val="000B4267"/>
    <w:rsid w:val="000C396B"/>
    <w:rsid w:val="000C5C6A"/>
    <w:rsid w:val="000C5E02"/>
    <w:rsid w:val="000D02ED"/>
    <w:rsid w:val="000E2AF5"/>
    <w:rsid w:val="000F1008"/>
    <w:rsid w:val="000F4570"/>
    <w:rsid w:val="000F4E0A"/>
    <w:rsid w:val="000F5B50"/>
    <w:rsid w:val="000F78D3"/>
    <w:rsid w:val="00110621"/>
    <w:rsid w:val="0012225A"/>
    <w:rsid w:val="00122488"/>
    <w:rsid w:val="00137E53"/>
    <w:rsid w:val="001515AB"/>
    <w:rsid w:val="00163009"/>
    <w:rsid w:val="001676EE"/>
    <w:rsid w:val="0017616B"/>
    <w:rsid w:val="00180BFA"/>
    <w:rsid w:val="00184395"/>
    <w:rsid w:val="00190061"/>
    <w:rsid w:val="001909BE"/>
    <w:rsid w:val="00191E65"/>
    <w:rsid w:val="00195065"/>
    <w:rsid w:val="00195A8E"/>
    <w:rsid w:val="001A087C"/>
    <w:rsid w:val="001B28DF"/>
    <w:rsid w:val="001C7685"/>
    <w:rsid w:val="001D0138"/>
    <w:rsid w:val="001D0A48"/>
    <w:rsid w:val="001D3691"/>
    <w:rsid w:val="001D3845"/>
    <w:rsid w:val="0020298F"/>
    <w:rsid w:val="002036E4"/>
    <w:rsid w:val="0021112C"/>
    <w:rsid w:val="002116C1"/>
    <w:rsid w:val="00214FD6"/>
    <w:rsid w:val="00220B59"/>
    <w:rsid w:val="00221971"/>
    <w:rsid w:val="00222C10"/>
    <w:rsid w:val="00223899"/>
    <w:rsid w:val="00225014"/>
    <w:rsid w:val="00225542"/>
    <w:rsid w:val="00227739"/>
    <w:rsid w:val="002401B5"/>
    <w:rsid w:val="0024067D"/>
    <w:rsid w:val="002458B3"/>
    <w:rsid w:val="00250AC9"/>
    <w:rsid w:val="00264BC7"/>
    <w:rsid w:val="002710E4"/>
    <w:rsid w:val="002720BF"/>
    <w:rsid w:val="00277798"/>
    <w:rsid w:val="0028161B"/>
    <w:rsid w:val="0028693F"/>
    <w:rsid w:val="0029392C"/>
    <w:rsid w:val="00294A5B"/>
    <w:rsid w:val="002A1531"/>
    <w:rsid w:val="002A5375"/>
    <w:rsid w:val="002C0ED6"/>
    <w:rsid w:val="002D1041"/>
    <w:rsid w:val="002D43E5"/>
    <w:rsid w:val="0030116A"/>
    <w:rsid w:val="003020D9"/>
    <w:rsid w:val="00306633"/>
    <w:rsid w:val="00312FD5"/>
    <w:rsid w:val="00313092"/>
    <w:rsid w:val="00320000"/>
    <w:rsid w:val="00327B67"/>
    <w:rsid w:val="00341CF6"/>
    <w:rsid w:val="003565F7"/>
    <w:rsid w:val="00364187"/>
    <w:rsid w:val="00364691"/>
    <w:rsid w:val="00372A85"/>
    <w:rsid w:val="00374B6D"/>
    <w:rsid w:val="00380E4A"/>
    <w:rsid w:val="003D3FEB"/>
    <w:rsid w:val="003D6B5E"/>
    <w:rsid w:val="003E6A50"/>
    <w:rsid w:val="003F5442"/>
    <w:rsid w:val="003F5AE5"/>
    <w:rsid w:val="003F67B6"/>
    <w:rsid w:val="00403627"/>
    <w:rsid w:val="00410BC0"/>
    <w:rsid w:val="00411ED9"/>
    <w:rsid w:val="00415B4B"/>
    <w:rsid w:val="00421C57"/>
    <w:rsid w:val="004452CF"/>
    <w:rsid w:val="004465E8"/>
    <w:rsid w:val="00452390"/>
    <w:rsid w:val="0045383D"/>
    <w:rsid w:val="00474E9E"/>
    <w:rsid w:val="004769E8"/>
    <w:rsid w:val="00477A46"/>
    <w:rsid w:val="00493D2D"/>
    <w:rsid w:val="004A185A"/>
    <w:rsid w:val="004A266F"/>
    <w:rsid w:val="004A3616"/>
    <w:rsid w:val="004A3E94"/>
    <w:rsid w:val="004A5F11"/>
    <w:rsid w:val="004B245E"/>
    <w:rsid w:val="004B2AF1"/>
    <w:rsid w:val="004C1F5C"/>
    <w:rsid w:val="004D1294"/>
    <w:rsid w:val="004D250E"/>
    <w:rsid w:val="004E7DFD"/>
    <w:rsid w:val="004F391E"/>
    <w:rsid w:val="005015AF"/>
    <w:rsid w:val="00503674"/>
    <w:rsid w:val="00506674"/>
    <w:rsid w:val="005211F0"/>
    <w:rsid w:val="00532D21"/>
    <w:rsid w:val="0053452D"/>
    <w:rsid w:val="00536038"/>
    <w:rsid w:val="00540C50"/>
    <w:rsid w:val="00540E22"/>
    <w:rsid w:val="0055570B"/>
    <w:rsid w:val="00556F9C"/>
    <w:rsid w:val="00560711"/>
    <w:rsid w:val="00560963"/>
    <w:rsid w:val="0056748F"/>
    <w:rsid w:val="00573E95"/>
    <w:rsid w:val="00590990"/>
    <w:rsid w:val="005A0D34"/>
    <w:rsid w:val="005A426C"/>
    <w:rsid w:val="005A67C3"/>
    <w:rsid w:val="005B4F3C"/>
    <w:rsid w:val="005C1858"/>
    <w:rsid w:val="005C1899"/>
    <w:rsid w:val="005C24D8"/>
    <w:rsid w:val="005C36A9"/>
    <w:rsid w:val="005D54DF"/>
    <w:rsid w:val="005D6099"/>
    <w:rsid w:val="005E0FD0"/>
    <w:rsid w:val="005E4D67"/>
    <w:rsid w:val="005F33B1"/>
    <w:rsid w:val="005F37C6"/>
    <w:rsid w:val="005F5A1D"/>
    <w:rsid w:val="005F6F71"/>
    <w:rsid w:val="0060504B"/>
    <w:rsid w:val="00610048"/>
    <w:rsid w:val="00613D86"/>
    <w:rsid w:val="0062300D"/>
    <w:rsid w:val="006246B8"/>
    <w:rsid w:val="0062761E"/>
    <w:rsid w:val="00627D3C"/>
    <w:rsid w:val="00630ED4"/>
    <w:rsid w:val="006324D1"/>
    <w:rsid w:val="00632DD7"/>
    <w:rsid w:val="006340D6"/>
    <w:rsid w:val="006342C2"/>
    <w:rsid w:val="006373DD"/>
    <w:rsid w:val="00641A0A"/>
    <w:rsid w:val="0064772C"/>
    <w:rsid w:val="006527F9"/>
    <w:rsid w:val="00656D38"/>
    <w:rsid w:val="00662646"/>
    <w:rsid w:val="006675EA"/>
    <w:rsid w:val="00687353"/>
    <w:rsid w:val="00694976"/>
    <w:rsid w:val="006977B9"/>
    <w:rsid w:val="006A041A"/>
    <w:rsid w:val="006A74F8"/>
    <w:rsid w:val="006C1286"/>
    <w:rsid w:val="006C7298"/>
    <w:rsid w:val="006D27EC"/>
    <w:rsid w:val="006D7189"/>
    <w:rsid w:val="006E124E"/>
    <w:rsid w:val="0070118A"/>
    <w:rsid w:val="00705682"/>
    <w:rsid w:val="00706909"/>
    <w:rsid w:val="0071097B"/>
    <w:rsid w:val="00716F18"/>
    <w:rsid w:val="00734BA5"/>
    <w:rsid w:val="007366E5"/>
    <w:rsid w:val="00742798"/>
    <w:rsid w:val="0074545A"/>
    <w:rsid w:val="00745AD3"/>
    <w:rsid w:val="00756A93"/>
    <w:rsid w:val="00761EB7"/>
    <w:rsid w:val="00762795"/>
    <w:rsid w:val="00765BF5"/>
    <w:rsid w:val="00783E40"/>
    <w:rsid w:val="00786BB9"/>
    <w:rsid w:val="00792ADA"/>
    <w:rsid w:val="0079780B"/>
    <w:rsid w:val="007A012E"/>
    <w:rsid w:val="007A1CC3"/>
    <w:rsid w:val="007A6131"/>
    <w:rsid w:val="007B4589"/>
    <w:rsid w:val="007D331F"/>
    <w:rsid w:val="007D357F"/>
    <w:rsid w:val="007E229E"/>
    <w:rsid w:val="007E78CF"/>
    <w:rsid w:val="007F09F7"/>
    <w:rsid w:val="007F6508"/>
    <w:rsid w:val="007F7DB7"/>
    <w:rsid w:val="00801CF9"/>
    <w:rsid w:val="0082457F"/>
    <w:rsid w:val="00826FA5"/>
    <w:rsid w:val="0083391D"/>
    <w:rsid w:val="00836511"/>
    <w:rsid w:val="00837AA6"/>
    <w:rsid w:val="00863CBF"/>
    <w:rsid w:val="00867403"/>
    <w:rsid w:val="00870D85"/>
    <w:rsid w:val="008725E7"/>
    <w:rsid w:val="00874D73"/>
    <w:rsid w:val="008826C0"/>
    <w:rsid w:val="00883DFC"/>
    <w:rsid w:val="00885EAC"/>
    <w:rsid w:val="00892671"/>
    <w:rsid w:val="0089469A"/>
    <w:rsid w:val="008964FF"/>
    <w:rsid w:val="008A033C"/>
    <w:rsid w:val="008A5124"/>
    <w:rsid w:val="008A7670"/>
    <w:rsid w:val="008B102A"/>
    <w:rsid w:val="008C7DA4"/>
    <w:rsid w:val="008E209A"/>
    <w:rsid w:val="008E5CFE"/>
    <w:rsid w:val="008E7A74"/>
    <w:rsid w:val="008F2485"/>
    <w:rsid w:val="00904696"/>
    <w:rsid w:val="00912EBF"/>
    <w:rsid w:val="00921535"/>
    <w:rsid w:val="00925456"/>
    <w:rsid w:val="00940A3D"/>
    <w:rsid w:val="00941CB9"/>
    <w:rsid w:val="009517D2"/>
    <w:rsid w:val="009536EF"/>
    <w:rsid w:val="00961E24"/>
    <w:rsid w:val="00962052"/>
    <w:rsid w:val="00971625"/>
    <w:rsid w:val="0098059D"/>
    <w:rsid w:val="00991B69"/>
    <w:rsid w:val="009A31E0"/>
    <w:rsid w:val="009A47C7"/>
    <w:rsid w:val="009A6519"/>
    <w:rsid w:val="009B5D25"/>
    <w:rsid w:val="009B6AFC"/>
    <w:rsid w:val="009C0BCB"/>
    <w:rsid w:val="009C6FA5"/>
    <w:rsid w:val="009D2A4D"/>
    <w:rsid w:val="009D7B29"/>
    <w:rsid w:val="009E5665"/>
    <w:rsid w:val="009F7AE1"/>
    <w:rsid w:val="009F7E4C"/>
    <w:rsid w:val="00A07DE9"/>
    <w:rsid w:val="00A1047F"/>
    <w:rsid w:val="00A11BC1"/>
    <w:rsid w:val="00A133D8"/>
    <w:rsid w:val="00A31330"/>
    <w:rsid w:val="00A3244F"/>
    <w:rsid w:val="00A36360"/>
    <w:rsid w:val="00A40D53"/>
    <w:rsid w:val="00A41E5A"/>
    <w:rsid w:val="00A44180"/>
    <w:rsid w:val="00A4525D"/>
    <w:rsid w:val="00A50FDC"/>
    <w:rsid w:val="00A608BA"/>
    <w:rsid w:val="00A63C5F"/>
    <w:rsid w:val="00A67A75"/>
    <w:rsid w:val="00A67C10"/>
    <w:rsid w:val="00A82821"/>
    <w:rsid w:val="00A82A9D"/>
    <w:rsid w:val="00A82DF3"/>
    <w:rsid w:val="00A847DB"/>
    <w:rsid w:val="00A84947"/>
    <w:rsid w:val="00A92748"/>
    <w:rsid w:val="00AA1F05"/>
    <w:rsid w:val="00AB0A14"/>
    <w:rsid w:val="00AB7E44"/>
    <w:rsid w:val="00AC6025"/>
    <w:rsid w:val="00AC6116"/>
    <w:rsid w:val="00AC7741"/>
    <w:rsid w:val="00AE1022"/>
    <w:rsid w:val="00AE17A9"/>
    <w:rsid w:val="00AE1DA9"/>
    <w:rsid w:val="00AE3550"/>
    <w:rsid w:val="00AE67E8"/>
    <w:rsid w:val="00AF29DC"/>
    <w:rsid w:val="00B009FB"/>
    <w:rsid w:val="00B0126D"/>
    <w:rsid w:val="00B0430D"/>
    <w:rsid w:val="00B14331"/>
    <w:rsid w:val="00B174A3"/>
    <w:rsid w:val="00B177D1"/>
    <w:rsid w:val="00B22DF1"/>
    <w:rsid w:val="00B24F92"/>
    <w:rsid w:val="00B44957"/>
    <w:rsid w:val="00B61689"/>
    <w:rsid w:val="00B6426E"/>
    <w:rsid w:val="00B65C69"/>
    <w:rsid w:val="00B66B86"/>
    <w:rsid w:val="00B7289B"/>
    <w:rsid w:val="00B72C36"/>
    <w:rsid w:val="00B955F7"/>
    <w:rsid w:val="00BA71F7"/>
    <w:rsid w:val="00BB43B2"/>
    <w:rsid w:val="00BB7D08"/>
    <w:rsid w:val="00BC4CF6"/>
    <w:rsid w:val="00BD61B8"/>
    <w:rsid w:val="00BE15EB"/>
    <w:rsid w:val="00BE7492"/>
    <w:rsid w:val="00BF363C"/>
    <w:rsid w:val="00BF3A70"/>
    <w:rsid w:val="00C019CE"/>
    <w:rsid w:val="00C1572A"/>
    <w:rsid w:val="00C44CC9"/>
    <w:rsid w:val="00C45CF5"/>
    <w:rsid w:val="00C5147D"/>
    <w:rsid w:val="00C5514F"/>
    <w:rsid w:val="00C6018E"/>
    <w:rsid w:val="00C75638"/>
    <w:rsid w:val="00C80CC7"/>
    <w:rsid w:val="00C81ED5"/>
    <w:rsid w:val="00C83905"/>
    <w:rsid w:val="00C85E3B"/>
    <w:rsid w:val="00C90358"/>
    <w:rsid w:val="00C9152C"/>
    <w:rsid w:val="00C943C1"/>
    <w:rsid w:val="00CA176B"/>
    <w:rsid w:val="00CA3098"/>
    <w:rsid w:val="00CA3788"/>
    <w:rsid w:val="00CA7D38"/>
    <w:rsid w:val="00CB24C9"/>
    <w:rsid w:val="00CD0F3B"/>
    <w:rsid w:val="00CE4B84"/>
    <w:rsid w:val="00CF085D"/>
    <w:rsid w:val="00D0071D"/>
    <w:rsid w:val="00D059F4"/>
    <w:rsid w:val="00D06509"/>
    <w:rsid w:val="00D07BFF"/>
    <w:rsid w:val="00D113DE"/>
    <w:rsid w:val="00D260A2"/>
    <w:rsid w:val="00D30634"/>
    <w:rsid w:val="00D31FD8"/>
    <w:rsid w:val="00D35D96"/>
    <w:rsid w:val="00D36677"/>
    <w:rsid w:val="00D4216C"/>
    <w:rsid w:val="00D51D36"/>
    <w:rsid w:val="00D53E50"/>
    <w:rsid w:val="00D54505"/>
    <w:rsid w:val="00D579C2"/>
    <w:rsid w:val="00D6225C"/>
    <w:rsid w:val="00D80C98"/>
    <w:rsid w:val="00D84DF5"/>
    <w:rsid w:val="00D876D7"/>
    <w:rsid w:val="00D9701D"/>
    <w:rsid w:val="00DA1921"/>
    <w:rsid w:val="00DB7A2F"/>
    <w:rsid w:val="00DC4055"/>
    <w:rsid w:val="00DC5A90"/>
    <w:rsid w:val="00DD07C5"/>
    <w:rsid w:val="00DF2A80"/>
    <w:rsid w:val="00DF7029"/>
    <w:rsid w:val="00E11270"/>
    <w:rsid w:val="00E1513D"/>
    <w:rsid w:val="00E15557"/>
    <w:rsid w:val="00E2030A"/>
    <w:rsid w:val="00E26B1E"/>
    <w:rsid w:val="00E26F59"/>
    <w:rsid w:val="00E2727C"/>
    <w:rsid w:val="00E34C67"/>
    <w:rsid w:val="00E41872"/>
    <w:rsid w:val="00E428DB"/>
    <w:rsid w:val="00E502DE"/>
    <w:rsid w:val="00E5070C"/>
    <w:rsid w:val="00E74117"/>
    <w:rsid w:val="00E81B52"/>
    <w:rsid w:val="00E85EA0"/>
    <w:rsid w:val="00EA3DD4"/>
    <w:rsid w:val="00EA4DAE"/>
    <w:rsid w:val="00EA4E4E"/>
    <w:rsid w:val="00EA6E4C"/>
    <w:rsid w:val="00EB085C"/>
    <w:rsid w:val="00EC1A5E"/>
    <w:rsid w:val="00EC3CD5"/>
    <w:rsid w:val="00EC5EBE"/>
    <w:rsid w:val="00EC75AE"/>
    <w:rsid w:val="00ED6BEA"/>
    <w:rsid w:val="00EE3CB0"/>
    <w:rsid w:val="00EE5DF3"/>
    <w:rsid w:val="00F034DF"/>
    <w:rsid w:val="00F044CF"/>
    <w:rsid w:val="00F05166"/>
    <w:rsid w:val="00F07B68"/>
    <w:rsid w:val="00F10F49"/>
    <w:rsid w:val="00F11F05"/>
    <w:rsid w:val="00F12E73"/>
    <w:rsid w:val="00F27B7B"/>
    <w:rsid w:val="00F360EF"/>
    <w:rsid w:val="00F46617"/>
    <w:rsid w:val="00F546E8"/>
    <w:rsid w:val="00F57721"/>
    <w:rsid w:val="00F60BD1"/>
    <w:rsid w:val="00F80336"/>
    <w:rsid w:val="00F81DCB"/>
    <w:rsid w:val="00F83754"/>
    <w:rsid w:val="00F844E5"/>
    <w:rsid w:val="00F91625"/>
    <w:rsid w:val="00F9168C"/>
    <w:rsid w:val="00F97814"/>
    <w:rsid w:val="00FA2084"/>
    <w:rsid w:val="00FA3397"/>
    <w:rsid w:val="00FA385C"/>
    <w:rsid w:val="00FA5D73"/>
    <w:rsid w:val="00FC3361"/>
    <w:rsid w:val="00FC4C79"/>
    <w:rsid w:val="00FE4424"/>
    <w:rsid w:val="00FE46DE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3053A"/>
  <w15:chartTrackingRefBased/>
  <w15:docId w15:val="{97788AAA-7195-4488-A5BD-68AFF50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355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3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3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50"/>
  </w:style>
  <w:style w:type="table" w:styleId="TableGrid">
    <w:name w:val="Table Grid"/>
    <w:basedOn w:val="TableNormal"/>
    <w:uiPriority w:val="39"/>
    <w:rsid w:val="00E7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B5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B5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3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A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D2D"/>
  </w:style>
  <w:style w:type="paragraph" w:customStyle="1" w:styleId="gmail-m-234524033881147238m1746456205372318392msolistparagraph">
    <w:name w:val="gmail-m_-234524033881147238m1746456205372318392msolistparagraph"/>
    <w:basedOn w:val="Normal"/>
    <w:rsid w:val="00341CF6"/>
    <w:pPr>
      <w:spacing w:before="100" w:beforeAutospacing="1" w:after="100" w:afterAutospacing="1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nbloomberg.ca/esg-funds-managing-1-trillion-are-stripped-of-sustainable-tag-by-morningstar-1.1721423" TargetMode="External"/><Relationship Id="rId13" Type="http://schemas.openxmlformats.org/officeDocument/2006/relationships/hyperlink" Target="https://www.ft.com/moral-mone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curities-administrators.ca/news/canadian-securities-regulators-publish-guidance-on-esg-related-investment-fund-disclosur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curities-administrators.ca/news/canadian-securities-regulators-publish-guidance-on-esg-related-investment-fund-disclos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ainstitute.org/en/ethics-standards/codes/esg-stand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estmentexecutive.com/newspaper_/focus-on-products/data-providers-to-build-on-new-esg-disclosure/" TargetMode="External"/><Relationship Id="rId10" Type="http://schemas.openxmlformats.org/officeDocument/2006/relationships/hyperlink" Target="https://www.investmentexecutive.com/news/research-and-markets/iosco-seeks-standards-for-esg-ratings-dat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fstream.com/news/sfdr-key-tool-for-evaluating-esg-etfs-brown-brothers-harriman-survey-finds/" TargetMode="External"/><Relationship Id="rId14" Type="http://schemas.openxmlformats.org/officeDocument/2006/relationships/hyperlink" Target="https://www.investmentexecutive.com/inside-track_/dustyn-lanz/an-advisors-short-guide-to-greenwash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dod\Documents\Consulting\Management\Self-Promotion%20Resources\Letterhead\mhdodick%20consulting%20-%20Projec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16C8-EAB1-43B3-90EE-318196E3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mhdodick consulting - Project Template.dotm</Template>
  <TotalTime>10</TotalTime>
  <Pages>3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Dodick</dc:creator>
  <cp:keywords/>
  <dc:description/>
  <cp:lastModifiedBy>Pat Dunwoody</cp:lastModifiedBy>
  <cp:revision>4</cp:revision>
  <dcterms:created xsi:type="dcterms:W3CDTF">2022-03-18T20:51:00Z</dcterms:created>
  <dcterms:modified xsi:type="dcterms:W3CDTF">2022-03-21T14:29:00Z</dcterms:modified>
</cp:coreProperties>
</file>